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9E4" w:rsidRDefault="00CF69E4">
      <w:pPr>
        <w:rPr>
          <w:rFonts w:ascii="黑体" w:eastAsia="黑体"/>
          <w:b/>
          <w:sz w:val="44"/>
          <w:szCs w:val="44"/>
        </w:rPr>
      </w:pPr>
    </w:p>
    <w:p w:rsidR="00CF69E4" w:rsidRDefault="000E47FD">
      <w:pPr>
        <w:jc w:val="center"/>
        <w:rPr>
          <w:rFonts w:ascii="宋体" w:hAnsi="宋体" w:cs="宋体"/>
          <w:b/>
          <w:sz w:val="36"/>
          <w:szCs w:val="36"/>
        </w:rPr>
      </w:pPr>
      <w:r>
        <w:rPr>
          <w:rFonts w:ascii="宋体" w:hAnsi="宋体" w:cs="宋体" w:hint="eastAsia"/>
          <w:b/>
          <w:sz w:val="36"/>
          <w:szCs w:val="36"/>
        </w:rPr>
        <w:t>《中储粮湖南分公司玉米购销双向</w:t>
      </w:r>
    </w:p>
    <w:p w:rsidR="00CF69E4" w:rsidRDefault="000E47FD">
      <w:pPr>
        <w:jc w:val="center"/>
        <w:rPr>
          <w:rFonts w:ascii="宋体" w:hAnsi="宋体" w:cs="宋体"/>
          <w:b/>
          <w:sz w:val="36"/>
          <w:szCs w:val="36"/>
        </w:rPr>
      </w:pPr>
      <w:r>
        <w:rPr>
          <w:rFonts w:ascii="宋体" w:hAnsi="宋体" w:cs="宋体" w:hint="eastAsia"/>
          <w:b/>
          <w:sz w:val="36"/>
          <w:szCs w:val="36"/>
        </w:rPr>
        <w:t>竞价专场交易细则》</w:t>
      </w:r>
    </w:p>
    <w:p w:rsidR="00CF69E4" w:rsidRDefault="000E47FD">
      <w:pPr>
        <w:jc w:val="center"/>
        <w:outlineLvl w:val="0"/>
        <w:rPr>
          <w:rFonts w:ascii="宋体" w:hAnsi="宋体" w:cs="宋体"/>
          <w:b/>
          <w:sz w:val="36"/>
          <w:szCs w:val="36"/>
        </w:rPr>
      </w:pPr>
      <w:r>
        <w:rPr>
          <w:rFonts w:ascii="宋体" w:hAnsi="宋体" w:cs="宋体" w:hint="eastAsia"/>
          <w:b/>
          <w:sz w:val="36"/>
          <w:szCs w:val="36"/>
        </w:rPr>
        <w:t>(2021年3月8日 试行)</w:t>
      </w:r>
    </w:p>
    <w:p w:rsidR="00CF69E4" w:rsidRDefault="00CF69E4">
      <w:pPr>
        <w:rPr>
          <w:rFonts w:ascii="仿宋_GB2312" w:eastAsia="仿宋_GB2312"/>
        </w:rPr>
      </w:pPr>
    </w:p>
    <w:p w:rsidR="00CF69E4" w:rsidRDefault="00CF69E4">
      <w:pPr>
        <w:rPr>
          <w:rFonts w:ascii="仿宋_GB2312" w:eastAsia="仿宋_GB2312"/>
        </w:rPr>
      </w:pPr>
    </w:p>
    <w:p w:rsidR="00CF69E4" w:rsidRDefault="000E47FD">
      <w:pPr>
        <w:jc w:val="center"/>
        <w:rPr>
          <w:rFonts w:ascii="黑体" w:eastAsia="黑体" w:hAnsi="黑体"/>
          <w:sz w:val="32"/>
          <w:szCs w:val="32"/>
        </w:rPr>
      </w:pPr>
      <w:r>
        <w:rPr>
          <w:rFonts w:ascii="黑体" w:eastAsia="黑体" w:hAnsi="黑体" w:hint="eastAsia"/>
          <w:sz w:val="32"/>
          <w:szCs w:val="32"/>
        </w:rPr>
        <w:t>第一章 总则</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rsidR="00CF69E4" w:rsidRDefault="000E47FD">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rsidR="00CF69E4" w:rsidRDefault="000E47FD">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rsidR="00CF69E4" w:rsidRDefault="000E47FD">
      <w:pPr>
        <w:tabs>
          <w:tab w:val="left" w:pos="-180"/>
          <w:tab w:val="left" w:pos="1303"/>
        </w:tabs>
        <w:ind w:firstLineChars="200" w:firstLine="602"/>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竞价交易受中储粮湖南分公司委托（湖南分公司各直属企业以下简称“委托方”），采取网上购销双向竞价交易。购销双向竞价交易，指委托方与竞价中标方按清单中公布价格签订轮入新粮采购合同，同时按竞价成交价格签订轮出粮食销售合同，轮出粮食和轮入新粮同时为交易标的。</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lastRenderedPageBreak/>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第七条 </w:t>
      </w:r>
      <w:r>
        <w:rPr>
          <w:rFonts w:ascii="仿宋_GB2312" w:eastAsia="仿宋_GB2312" w:hint="eastAsia"/>
          <w:sz w:val="30"/>
          <w:szCs w:val="30"/>
        </w:rPr>
        <w:t>中储粮储运有限公司电子商务部（以下简称“电子商务部</w:t>
      </w:r>
      <w:r>
        <w:rPr>
          <w:rFonts w:ascii="仿宋_GB2312" w:eastAsia="仿宋_GB2312"/>
          <w:sz w:val="30"/>
          <w:szCs w:val="30"/>
        </w:rPr>
        <w:t>”</w:t>
      </w:r>
      <w:r>
        <w:rPr>
          <w:rFonts w:ascii="仿宋_GB2312" w:eastAsia="仿宋_GB2312" w:hint="eastAsia"/>
          <w:sz w:val="30"/>
          <w:szCs w:val="30"/>
        </w:rPr>
        <w:t>）具体负责中储粮网的建设和日常运营。</w:t>
      </w:r>
    </w:p>
    <w:p w:rsidR="00CF69E4" w:rsidRDefault="00CF69E4">
      <w:pPr>
        <w:tabs>
          <w:tab w:val="left" w:pos="-180"/>
        </w:tabs>
        <w:ind w:firstLineChars="200" w:firstLine="600"/>
        <w:rPr>
          <w:rFonts w:ascii="黑体" w:eastAsia="黑体" w:hAnsi="黑体"/>
          <w:sz w:val="30"/>
          <w:szCs w:val="30"/>
        </w:rPr>
      </w:pPr>
    </w:p>
    <w:p w:rsidR="00CF69E4" w:rsidRDefault="000E47FD">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中储粮网会员指根据国家有关法律、法规及电子商务部有关章程的规定，经电子商务部审核批准，在中储粮网进行电子商务活动的企业法人或者其他经济组织等。中储粮网会员实行会员资格年审制。</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rsidR="00CF69E4" w:rsidRDefault="000E47FD">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申请注册中储粮网会员的企业，需向电子商务部提交下列资料： </w:t>
      </w:r>
    </w:p>
    <w:p w:rsidR="00CF69E4" w:rsidRDefault="000E47FD">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rsidR="00CF69E4" w:rsidRDefault="000E47FD">
      <w:pPr>
        <w:ind w:firstLineChars="200" w:firstLine="600"/>
        <w:rPr>
          <w:rFonts w:ascii="仿宋_GB2312" w:eastAsia="仿宋_GB2312"/>
          <w:sz w:val="30"/>
          <w:szCs w:val="30"/>
        </w:rPr>
      </w:pPr>
      <w:r>
        <w:rPr>
          <w:rFonts w:ascii="仿宋_GB2312" w:eastAsia="仿宋_GB2312" w:cs="仿宋_GB2312" w:hint="eastAsia"/>
          <w:sz w:val="30"/>
          <w:szCs w:val="30"/>
        </w:rPr>
        <w:t>（二）在线据实填写企业基本信息提交后，可下载、打印《中储粮网会员注册申请表》、《承诺函》、《</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》和《中储粮网电子签章使用确认书》，上述资</w:t>
      </w:r>
      <w:r>
        <w:rPr>
          <w:rFonts w:ascii="仿宋_GB2312" w:eastAsia="仿宋_GB2312" w:cs="仿宋_GB2312" w:hint="eastAsia"/>
          <w:sz w:val="30"/>
          <w:szCs w:val="30"/>
        </w:rPr>
        <w:lastRenderedPageBreak/>
        <w:t>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rsidR="00CF69E4" w:rsidRDefault="000E47FD">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rsidR="00CF69E4" w:rsidRDefault="000E47FD">
      <w:pPr>
        <w:ind w:firstLineChars="200" w:firstLine="600"/>
        <w:rPr>
          <w:rFonts w:ascii="仿宋_GB2312" w:eastAsia="仿宋_GB2312"/>
          <w:sz w:val="30"/>
          <w:szCs w:val="30"/>
        </w:rPr>
      </w:pPr>
      <w:r>
        <w:rPr>
          <w:rFonts w:ascii="仿宋_GB2312" w:eastAsia="仿宋_GB2312" w:hint="eastAsia"/>
          <w:sz w:val="30"/>
          <w:szCs w:val="30"/>
        </w:rPr>
        <w:t>（五）提交交易操作员、财务操作员和电子签章操作员身份证复印件（加盖企业公章）。电子商务部根据申请注册会员提供的以上资料进行审核，经核实无误后将会员代码、交易密码、交易密钥等相关交易凭证发放至申请注册企业，完成会员注册。</w:t>
      </w:r>
    </w:p>
    <w:p w:rsidR="00CF69E4" w:rsidRDefault="000E47FD">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rsidR="00CF69E4" w:rsidRDefault="000E47FD">
      <w:pPr>
        <w:tabs>
          <w:tab w:val="left" w:pos="-180"/>
          <w:tab w:val="left" w:pos="2012"/>
        </w:tabs>
        <w:ind w:firstLineChars="250" w:firstLine="753"/>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rsidR="00CF69E4" w:rsidRDefault="000E47FD">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（三）对中储粮网的工作提出意见和建议；</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rsidR="00CF69E4" w:rsidRDefault="000E47FD">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（三）在获得会员资格后，及时更改从电子商务部获取的初始密码并妥善保管，并对其会员代码下发生的所有交易及结果承担全部责任，严格履行在中储粮网上签订的合同及协议；</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（四）确保提供给电子商务部备案的签名、印鉴等各种会员资料真实、合法、有效。如有变更，会员应及时提交变更申请至电子商务部进行信息变更；</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rsidR="00CF69E4" w:rsidRDefault="000E47FD">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rsidR="00CF69E4" w:rsidRDefault="000E47FD">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交易时间。交易时间以交易公告中公布的时间为准。客服时间为工作日9:00-17:00，出、入金业务仅在客服时间内办理。客服时间如有调整，以中储粮网公告为准。电子商务</w:t>
      </w:r>
      <w:r>
        <w:rPr>
          <w:rFonts w:ascii="仿宋_GB2312" w:eastAsia="仿宋_GB2312" w:hint="eastAsia"/>
          <w:sz w:val="30"/>
          <w:szCs w:val="30"/>
        </w:rPr>
        <w:lastRenderedPageBreak/>
        <w:t>部认为必须控制风险或遇不可抗力事件时，有权决定暂停交易或调整交易开闭市时间。会员因其自身原因不能正常参与交易，不影响整体网上交易的进行。</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sidRPr="00120EFA">
        <w:rPr>
          <w:rFonts w:ascii="仿宋_GB2312" w:eastAsia="仿宋_GB2312" w:hint="eastAsia"/>
          <w:sz w:val="30"/>
          <w:szCs w:val="30"/>
        </w:rPr>
        <w:t>中储粮网实行保证金制，中储粮网会员应在竞价交易前一个工作日向中储粮网会员资金账户内预交交易保证金和履约保证金，</w:t>
      </w:r>
      <w:r w:rsidRPr="00120EFA">
        <w:rPr>
          <w:rFonts w:ascii="仿宋_GB2312" w:eastAsia="仿宋_GB2312" w:hint="eastAsia"/>
          <w:sz w:val="32"/>
          <w:szCs w:val="32"/>
        </w:rPr>
        <w:t>销售</w:t>
      </w:r>
      <w:r>
        <w:rPr>
          <w:rFonts w:ascii="仿宋_GB2312" w:eastAsia="仿宋_GB2312" w:hint="eastAsia"/>
          <w:sz w:val="32"/>
          <w:szCs w:val="32"/>
        </w:rPr>
        <w:t>和采购合同交易保证金各10元/吨，销售合同履约保证金180元/吨，采购合同履约保证金为180元/吨，共计380元/吨。</w:t>
      </w:r>
      <w:r>
        <w:rPr>
          <w:rFonts w:ascii="仿宋_GB2312" w:eastAsia="仿宋_GB2312" w:hint="eastAsia"/>
          <w:sz w:val="30"/>
          <w:szCs w:val="30"/>
        </w:rPr>
        <w:t>中储粮网会员必须根据拟交易数量缴纳足额保证金，方可在中储粮网进行竞价。</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rsidR="00CF69E4" w:rsidRDefault="000E47FD">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rsidR="00CF69E4" w:rsidRDefault="000E47FD">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rsidR="00CF69E4" w:rsidRDefault="000E47FD">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rsidR="00CF69E4" w:rsidRDefault="000E47FD">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lastRenderedPageBreak/>
        <w:t>银行行号：</w:t>
      </w:r>
      <w:r>
        <w:rPr>
          <w:rFonts w:ascii="仿宋_GB2312" w:eastAsia="仿宋_GB2312"/>
          <w:sz w:val="30"/>
          <w:szCs w:val="30"/>
        </w:rPr>
        <w:t>1021 0000 0136</w:t>
      </w:r>
    </w:p>
    <w:p w:rsidR="00CF69E4" w:rsidRDefault="000E47FD">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rsidR="00CF69E4" w:rsidRDefault="000E47FD">
      <w:pPr>
        <w:numPr>
          <w:ilvl w:val="255"/>
          <w:numId w:val="0"/>
        </w:numPr>
        <w:tabs>
          <w:tab w:val="left" w:pos="-180"/>
          <w:tab w:val="left" w:pos="1303"/>
        </w:tabs>
        <w:ind w:firstLineChars="200" w:firstLine="602"/>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会员资金管理。会员在中储粮网交易中涉及的保证金、货款等资金必须存入其托管账户内委托中储粮网进行管理，并按照中储粮网相关制度、规则及协议规定，通过中储粮网进行资金汇划与结算。</w:t>
      </w:r>
    </w:p>
    <w:p w:rsidR="00CF69E4" w:rsidRDefault="000E47FD">
      <w:pPr>
        <w:numPr>
          <w:ilvl w:val="255"/>
          <w:numId w:val="0"/>
        </w:numPr>
        <w:tabs>
          <w:tab w:val="left" w:pos="-180"/>
          <w:tab w:val="left" w:pos="1303"/>
        </w:tabs>
        <w:ind w:firstLineChars="200" w:firstLine="626"/>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rsidR="00CF69E4" w:rsidRDefault="00CF69E4">
      <w:pPr>
        <w:tabs>
          <w:tab w:val="left" w:pos="-180"/>
        </w:tabs>
        <w:ind w:firstLineChars="200" w:firstLine="600"/>
        <w:jc w:val="left"/>
        <w:rPr>
          <w:rFonts w:ascii="仿宋_GB2312" w:eastAsia="仿宋_GB2312"/>
          <w:sz w:val="30"/>
          <w:szCs w:val="30"/>
        </w:rPr>
      </w:pPr>
    </w:p>
    <w:p w:rsidR="00CF69E4" w:rsidRDefault="00CF69E4">
      <w:pPr>
        <w:tabs>
          <w:tab w:val="left" w:pos="-180"/>
        </w:tabs>
        <w:ind w:firstLineChars="200" w:firstLine="600"/>
        <w:jc w:val="left"/>
        <w:rPr>
          <w:rFonts w:ascii="黑体" w:eastAsia="黑体" w:hAnsi="黑体"/>
          <w:sz w:val="30"/>
          <w:szCs w:val="30"/>
        </w:rPr>
      </w:pPr>
    </w:p>
    <w:p w:rsidR="00CF69E4" w:rsidRDefault="000E47FD">
      <w:pPr>
        <w:jc w:val="center"/>
        <w:rPr>
          <w:rFonts w:ascii="黑体" w:eastAsia="黑体" w:hAnsi="黑体"/>
          <w:sz w:val="32"/>
          <w:szCs w:val="32"/>
        </w:rPr>
      </w:pPr>
      <w:r>
        <w:rPr>
          <w:rFonts w:ascii="黑体" w:eastAsia="黑体" w:hAnsi="黑体" w:hint="eastAsia"/>
          <w:sz w:val="32"/>
          <w:szCs w:val="32"/>
        </w:rPr>
        <w:t>第四章 交易秩序</w:t>
      </w:r>
    </w:p>
    <w:p w:rsidR="00CF69E4" w:rsidRDefault="000E47FD">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rsidR="00CF69E4" w:rsidRDefault="000E47FD">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rsidR="00CF69E4" w:rsidRDefault="000E47FD">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rsidR="00CF69E4" w:rsidRDefault="00CF69E4">
      <w:pPr>
        <w:ind w:firstLineChars="200" w:firstLine="600"/>
        <w:rPr>
          <w:rFonts w:ascii="仿宋_GB2312" w:eastAsia="仿宋_GB2312"/>
          <w:sz w:val="30"/>
          <w:szCs w:val="30"/>
        </w:rPr>
      </w:pPr>
    </w:p>
    <w:p w:rsidR="00CF69E4" w:rsidRDefault="000E47FD">
      <w:pPr>
        <w:jc w:val="center"/>
        <w:rPr>
          <w:rFonts w:ascii="黑体" w:eastAsia="黑体" w:hAnsi="黑体"/>
          <w:sz w:val="32"/>
          <w:szCs w:val="32"/>
        </w:rPr>
      </w:pPr>
      <w:r>
        <w:rPr>
          <w:rFonts w:ascii="黑体" w:eastAsia="黑体" w:hAnsi="黑体" w:hint="eastAsia"/>
          <w:sz w:val="32"/>
          <w:szCs w:val="32"/>
        </w:rPr>
        <w:t>第五章 竞价交易</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中储粮网受中储粮湖南分公司委托，组建竞价</w:t>
      </w:r>
      <w:r>
        <w:rPr>
          <w:rFonts w:ascii="仿宋_GB2312" w:eastAsia="仿宋_GB2312" w:hint="eastAsia"/>
          <w:sz w:val="30"/>
          <w:szCs w:val="30"/>
        </w:rPr>
        <w:lastRenderedPageBreak/>
        <w:t>专场，交易信息以专场标的形式展现；竞价参与方在专场交易的规定时间内可对选定的标的，以轮入新粮采购价格事先公布、轮出粮食销售价格向上的出价方式进行公开竞价。交易系统按照“价格优先、时间优先”的原则成交。</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货地点（货位号）、数量、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库能力合理安排竞价批次、标的，确保竞价交易成交后业务正常运行。交易委托方需对所提供标的信息的真实性、完整性以及准确性负责。竞价交易专场举行之前，电子商务部均通过中储粮网发布公告。</w:t>
      </w:r>
    </w:p>
    <w:p w:rsidR="00120EFA" w:rsidRPr="00120EFA" w:rsidRDefault="000E47FD" w:rsidP="00120EFA">
      <w:pPr>
        <w:ind w:firstLineChars="200" w:firstLine="602"/>
        <w:rPr>
          <w:rFonts w:ascii="仿宋_GB2312" w:eastAsia="仿宋_GB2312" w:hAnsi="仿宋_GB2312" w:cs="仿宋_GB2312" w:hint="eastAsia"/>
          <w:sz w:val="30"/>
          <w:szCs w:val="30"/>
        </w:rPr>
      </w:pPr>
      <w:r>
        <w:rPr>
          <w:rFonts w:ascii="仿宋_GB2312" w:eastAsia="仿宋_GB2312" w:hint="eastAsia"/>
          <w:b/>
          <w:sz w:val="30"/>
          <w:szCs w:val="30"/>
        </w:rPr>
        <w:t>第二十四条</w:t>
      </w:r>
      <w:r w:rsidR="00120EFA" w:rsidRPr="00120EFA">
        <w:rPr>
          <w:rFonts w:ascii="仿宋_GB2312" w:eastAsia="仿宋_GB2312" w:hAnsi="仿宋_GB2312" w:cs="仿宋_GB2312" w:hint="eastAsia"/>
          <w:bCs/>
          <w:sz w:val="30"/>
          <w:szCs w:val="30"/>
        </w:rPr>
        <w:t>采购价格是</w:t>
      </w:r>
      <w:r w:rsidR="00120EFA" w:rsidRPr="00120EFA">
        <w:rPr>
          <w:rFonts w:ascii="仿宋_GB2312" w:eastAsia="仿宋_GB2312" w:hint="eastAsia"/>
          <w:sz w:val="30"/>
          <w:szCs w:val="30"/>
        </w:rPr>
        <w:t>事先约定价格</w:t>
      </w:r>
      <w:r w:rsidR="00120EFA" w:rsidRPr="00120EFA">
        <w:rPr>
          <w:rFonts w:ascii="仿宋_GB2312" w:eastAsia="仿宋_GB2312" w:hAnsi="仿宋_GB2312" w:cs="仿宋_GB2312" w:hint="eastAsia"/>
          <w:sz w:val="30"/>
          <w:szCs w:val="30"/>
        </w:rPr>
        <w:t>3150元/吨，为散粮到库价。采购合同中标方必须采取汽车散装散运方式，交货地点为委托方库内。</w:t>
      </w:r>
    </w:p>
    <w:p w:rsidR="00CF69E4" w:rsidRPr="00120EFA" w:rsidRDefault="000E47FD" w:rsidP="00120EFA">
      <w:pPr>
        <w:ind w:firstLineChars="200" w:firstLine="600"/>
        <w:rPr>
          <w:rFonts w:ascii="仿宋_GB2312" w:eastAsia="仿宋_GB2312" w:hint="eastAsia"/>
          <w:sz w:val="30"/>
          <w:szCs w:val="30"/>
        </w:rPr>
      </w:pPr>
      <w:r w:rsidRPr="00120EFA">
        <w:rPr>
          <w:rFonts w:ascii="仿宋_GB2312" w:eastAsia="仿宋_GB2312" w:hAnsi="仿宋_GB2312" w:cs="仿宋_GB2312" w:hint="eastAsia"/>
          <w:bCs/>
          <w:sz w:val="30"/>
          <w:szCs w:val="30"/>
        </w:rPr>
        <w:t>销售价格</w:t>
      </w:r>
      <w:r w:rsidRPr="00120EFA">
        <w:rPr>
          <w:rFonts w:ascii="仿宋_GB2312" w:eastAsia="仿宋_GB2312" w:hint="eastAsia"/>
          <w:sz w:val="30"/>
          <w:szCs w:val="30"/>
        </w:rPr>
        <w:t>以竞价方式产生</w:t>
      </w:r>
      <w:r w:rsidRPr="00120EFA">
        <w:rPr>
          <w:rFonts w:ascii="仿宋_GB2312" w:eastAsia="仿宋_GB2312" w:hAnsi="仿宋_GB2312" w:cs="仿宋_GB2312" w:hint="eastAsia"/>
          <w:sz w:val="30"/>
          <w:szCs w:val="30"/>
        </w:rPr>
        <w:t>（底价3150元/吨），为散粮汽车板价，交货地点为委托方库内，无水、杂增扣量。竞价每次每吨递增5元，销售价格最高者中标。</w:t>
      </w:r>
    </w:p>
    <w:p w:rsidR="00CF69E4" w:rsidRPr="00120EFA" w:rsidRDefault="00CF69E4">
      <w:pPr>
        <w:ind w:firstLineChars="200" w:firstLine="600"/>
        <w:rPr>
          <w:rFonts w:ascii="仿宋_GB2312" w:eastAsia="仿宋_GB2312"/>
          <w:sz w:val="30"/>
          <w:szCs w:val="30"/>
        </w:rPr>
      </w:pP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lastRenderedPageBreak/>
        <w:t xml:space="preserve">第二十五条 </w:t>
      </w:r>
      <w:r>
        <w:rPr>
          <w:rFonts w:ascii="仿宋_GB2312" w:eastAsia="仿宋_GB2312" w:hint="eastAsia"/>
          <w:sz w:val="30"/>
          <w:szCs w:val="30"/>
        </w:rPr>
        <w:t>本场竞价交易所有标的成交价格均为散粮成交价格，不含包装物。销售合同中，中标方在提货时可自主选择采取散装散运或自备包装物出库，委托方不得强制带包装出库。销售合同竞拍标的为带包装储存的，出库是否带包装由中标方决定，如需散装出库，倒袋费用由委托方承担。</w:t>
      </w:r>
    </w:p>
    <w:p w:rsidR="00CF69E4" w:rsidRDefault="000E47FD">
      <w:pPr>
        <w:tabs>
          <w:tab w:val="left" w:pos="-180"/>
          <w:tab w:val="left" w:pos="2012"/>
        </w:tabs>
        <w:ind w:firstLineChars="200" w:firstLine="626"/>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r>
        <w:rPr>
          <w:rFonts w:ascii="仿宋_GB2312" w:eastAsia="仿宋_GB2312" w:hAnsi="宋体" w:hint="eastAsia"/>
          <w:spacing w:val="6"/>
          <w:sz w:val="30"/>
          <w:szCs w:val="30"/>
        </w:rPr>
        <w:t>此次专场3个标的为</w:t>
      </w:r>
      <w:r>
        <w:rPr>
          <w:rFonts w:ascii="仿宋_GB2312" w:eastAsia="仿宋_GB2312" w:hAnsi="宋体"/>
          <w:spacing w:val="6"/>
          <w:sz w:val="30"/>
          <w:szCs w:val="30"/>
        </w:rPr>
        <w:t>1个交易节，时间为60秒</w:t>
      </w:r>
      <w:r>
        <w:rPr>
          <w:rFonts w:ascii="仿宋_GB2312" w:eastAsia="仿宋_GB2312" w:hint="eastAsia"/>
          <w:sz w:val="30"/>
          <w:szCs w:val="30"/>
        </w:rPr>
        <w:t>。</w:t>
      </w:r>
    </w:p>
    <w:p w:rsidR="00CF69E4" w:rsidRDefault="000E47FD">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进入中储粮网竞价专场，应点击计算机报价，竞价数量已超过预交保证金所能购买数量的不可再参加竞价。</w:t>
      </w:r>
    </w:p>
    <w:p w:rsidR="00CF69E4" w:rsidRDefault="000E47FD">
      <w:pPr>
        <w:ind w:firstLineChars="200" w:firstLine="602"/>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保证金冻结。在采购价格锁定的情况下，竞价参与方对销售价格进行应价，应价成交后同时生成销售和采购两笔合同，两笔成交合同对应的保证金全部自动冻结。</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利用计算机按交易节逐节进行应价。在竞价专场公告对报价无特殊声明情况下，竞价销售专场从销售标底价开始报价，按</w:t>
      </w:r>
      <w:r>
        <w:rPr>
          <w:rFonts w:ascii="仿宋_GB2312" w:eastAsia="仿宋_GB2312" w:hAnsi="宋体" w:hint="eastAsia"/>
          <w:b/>
          <w:spacing w:val="6"/>
          <w:sz w:val="30"/>
          <w:szCs w:val="30"/>
        </w:rPr>
        <w:t>每吨</w:t>
      </w:r>
      <w:r>
        <w:rPr>
          <w:rFonts w:ascii="仿宋_GB2312" w:eastAsia="仿宋_GB2312" w:hAnsi="宋体"/>
          <w:b/>
          <w:spacing w:val="6"/>
          <w:sz w:val="30"/>
          <w:szCs w:val="30"/>
        </w:rPr>
        <w:t>5</w:t>
      </w:r>
      <w:r>
        <w:rPr>
          <w:rFonts w:ascii="仿宋_GB2312" w:eastAsia="仿宋_GB2312" w:hAnsi="宋体" w:hint="eastAsia"/>
          <w:b/>
          <w:spacing w:val="6"/>
          <w:sz w:val="30"/>
          <w:szCs w:val="30"/>
        </w:rPr>
        <w:t>元</w:t>
      </w:r>
      <w:r>
        <w:rPr>
          <w:rFonts w:ascii="仿宋_GB2312" w:eastAsia="仿宋_GB2312" w:hAnsi="宋体" w:hint="eastAsia"/>
          <w:spacing w:val="6"/>
          <w:sz w:val="30"/>
          <w:szCs w:val="30"/>
        </w:rPr>
        <w:t>的价位递增报价。特殊情况以竞价交易专场公告为准。</w:t>
      </w:r>
    </w:p>
    <w:p w:rsidR="00CF69E4" w:rsidRDefault="000E47FD">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竞买</w:t>
      </w:r>
      <w:r>
        <w:rPr>
          <w:rFonts w:ascii="仿宋_GB2312" w:eastAsia="仿宋_GB2312" w:hAnsi="宋体" w:cs="仿宋_GB2312"/>
          <w:spacing w:val="6"/>
          <w:kern w:val="0"/>
          <w:sz w:val="30"/>
          <w:szCs w:val="30"/>
        </w:rPr>
        <w:t>方</w:t>
      </w:r>
      <w:r>
        <w:rPr>
          <w:rFonts w:ascii="仿宋_GB2312" w:eastAsia="仿宋_GB2312" w:hAnsi="宋体" w:cs="仿宋_GB2312" w:hint="eastAsia"/>
          <w:spacing w:val="6"/>
          <w:kern w:val="0"/>
          <w:sz w:val="30"/>
          <w:szCs w:val="30"/>
        </w:rPr>
        <w:t>同时</w:t>
      </w:r>
      <w:r>
        <w:rPr>
          <w:rFonts w:ascii="仿宋_GB2312" w:eastAsia="仿宋_GB2312" w:hAnsi="宋体" w:hint="eastAsia"/>
          <w:spacing w:val="6"/>
          <w:sz w:val="30"/>
          <w:szCs w:val="30"/>
        </w:rPr>
        <w:t>为标的采购合同部分的供货人（以下统称中标方）。</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lastRenderedPageBreak/>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rsidR="00CF69E4" w:rsidRDefault="000E47FD">
      <w:pPr>
        <w:tabs>
          <w:tab w:val="left" w:pos="-180"/>
          <w:tab w:val="left" w:pos="2012"/>
        </w:tabs>
        <w:ind w:firstLineChars="200" w:firstLine="602"/>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成交合同自委托、中标双方于中储粮网成交之时起生效。</w:t>
      </w:r>
    </w:p>
    <w:bookmarkEnd w:id="0"/>
    <w:bookmarkEnd w:id="1"/>
    <w:p w:rsidR="00CF69E4" w:rsidRDefault="00CF69E4">
      <w:pPr>
        <w:tabs>
          <w:tab w:val="left" w:pos="0"/>
          <w:tab w:val="left" w:pos="1303"/>
        </w:tabs>
        <w:ind w:firstLineChars="200" w:firstLine="600"/>
        <w:rPr>
          <w:rFonts w:ascii="仿宋_GB2312" w:eastAsia="仿宋_GB2312"/>
          <w:sz w:val="30"/>
          <w:szCs w:val="30"/>
        </w:rPr>
      </w:pPr>
    </w:p>
    <w:p w:rsidR="00CF69E4" w:rsidRDefault="000E47FD">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rsidR="00CF69E4" w:rsidRDefault="000E47FD">
      <w:pPr>
        <w:ind w:firstLineChars="200" w:firstLine="602"/>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交割方式。本专场竞价交易生成的销售合同执行</w:t>
      </w:r>
      <w:r>
        <w:rPr>
          <w:rFonts w:ascii="仿宋_GB2312" w:eastAsia="仿宋_GB2312"/>
          <w:sz w:val="30"/>
          <w:szCs w:val="30"/>
        </w:rPr>
        <w:t>实行</w:t>
      </w:r>
      <w:r>
        <w:rPr>
          <w:rFonts w:ascii="仿宋_GB2312" w:eastAsia="仿宋_GB2312"/>
          <w:sz w:val="30"/>
          <w:szCs w:val="30"/>
        </w:rPr>
        <w:t>“</w:t>
      </w:r>
      <w:r>
        <w:rPr>
          <w:rFonts w:ascii="仿宋_GB2312" w:eastAsia="仿宋_GB2312"/>
          <w:sz w:val="30"/>
          <w:szCs w:val="30"/>
        </w:rPr>
        <w:t>先款后货</w:t>
      </w:r>
      <w:r>
        <w:rPr>
          <w:rFonts w:ascii="仿宋_GB2312" w:eastAsia="仿宋_GB2312"/>
          <w:sz w:val="30"/>
          <w:szCs w:val="30"/>
        </w:rPr>
        <w:t>”</w:t>
      </w:r>
      <w:r>
        <w:rPr>
          <w:rFonts w:ascii="仿宋_GB2312" w:eastAsia="仿宋_GB2312" w:hint="eastAsia"/>
          <w:sz w:val="30"/>
          <w:szCs w:val="30"/>
        </w:rPr>
        <w:t>，委托方</w:t>
      </w:r>
      <w:r>
        <w:rPr>
          <w:rFonts w:ascii="仿宋_GB2312" w:eastAsia="仿宋_GB2312"/>
          <w:sz w:val="30"/>
          <w:szCs w:val="30"/>
        </w:rPr>
        <w:t>在</w:t>
      </w:r>
      <w:r>
        <w:rPr>
          <w:rFonts w:ascii="仿宋_GB2312" w:eastAsia="仿宋_GB2312" w:hint="eastAsia"/>
          <w:sz w:val="30"/>
          <w:szCs w:val="30"/>
        </w:rPr>
        <w:t>合同规定的</w:t>
      </w:r>
      <w:r>
        <w:rPr>
          <w:rFonts w:ascii="仿宋_GB2312" w:eastAsia="仿宋_GB2312"/>
          <w:sz w:val="30"/>
          <w:szCs w:val="30"/>
        </w:rPr>
        <w:t>出库期内按到款进度发货</w:t>
      </w:r>
      <w:r>
        <w:rPr>
          <w:rFonts w:ascii="仿宋_GB2312" w:eastAsia="仿宋_GB2312" w:hint="eastAsia"/>
          <w:sz w:val="30"/>
          <w:szCs w:val="30"/>
        </w:rPr>
        <w:t>；采购合同执行实行“先货后款”，委托方在合同规定的入库期内按到货进度付款，到货数量为到货验收合格后结算单数量；待支付至总货款的</w:t>
      </w:r>
      <w:r>
        <w:rPr>
          <w:rFonts w:ascii="仿宋_GB2312" w:eastAsia="仿宋_GB2312"/>
          <w:sz w:val="30"/>
          <w:szCs w:val="30"/>
        </w:rPr>
        <w:t>90%以后暂停支付，剩余10%货款</w:t>
      </w:r>
      <w:r>
        <w:rPr>
          <w:rFonts w:ascii="仿宋_GB2312" w:eastAsia="仿宋_GB2312" w:hint="eastAsia"/>
          <w:sz w:val="30"/>
          <w:szCs w:val="30"/>
        </w:rPr>
        <w:t>在合同数量全部入库验收合格且收到中标方提供的全额增值税专用发票后，</w:t>
      </w:r>
      <w:r>
        <w:rPr>
          <w:rFonts w:ascii="仿宋_GB2312" w:eastAsia="仿宋_GB2312"/>
          <w:sz w:val="30"/>
          <w:szCs w:val="30"/>
        </w:rPr>
        <w:t>7个工作日内予以结清。</w:t>
      </w:r>
      <w:r>
        <w:rPr>
          <w:rFonts w:ascii="仿宋_GB2312" w:eastAsia="仿宋_GB2312" w:hint="eastAsia"/>
          <w:sz w:val="30"/>
          <w:szCs w:val="30"/>
        </w:rPr>
        <w:t>交易所涉及的保证金、货款必须通过中储粮网支付。委托方不得违反中储粮集团公司赊销预付管理有关规定。</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lastRenderedPageBreak/>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rsidR="00CF69E4" w:rsidRDefault="000E47FD">
      <w:pPr>
        <w:tabs>
          <w:tab w:val="left" w:pos="-180"/>
        </w:tabs>
        <w:ind w:firstLineChars="200" w:firstLine="602"/>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销售合同的货款支付。中标方必须于交易合同生效之日起，在规定的出库期内完成全部货款的支付。委托方必须于交易合同生效之日起，在合同数量全部入库验收合格且收到中标方提供的全额增值税专用发票后，7个工作日完成全部货款的支付。中储粮网的货款支付方式有两种，直接支付与验收确认后支付。</w:t>
      </w:r>
    </w:p>
    <w:p w:rsidR="00CF69E4" w:rsidRDefault="000E47FD">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rsidR="00CF69E4" w:rsidRDefault="000E47FD">
      <w:pPr>
        <w:tabs>
          <w:tab w:val="left" w:pos="-180"/>
          <w:tab w:val="left" w:pos="735"/>
        </w:tabs>
        <w:ind w:firstLineChars="200" w:firstLine="600"/>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rsidR="00CF69E4" w:rsidRDefault="000E47FD">
      <w:pPr>
        <w:tabs>
          <w:tab w:val="left" w:pos="-180"/>
          <w:tab w:val="left" w:pos="735"/>
        </w:tabs>
        <w:ind w:firstLineChars="200" w:firstLine="600"/>
        <w:rPr>
          <w:rFonts w:ascii="仿宋_GB2312" w:eastAsia="仿宋_GB2312"/>
          <w:sz w:val="30"/>
          <w:szCs w:val="30"/>
        </w:rPr>
      </w:pPr>
      <w:r>
        <w:rPr>
          <w:rFonts w:ascii="仿宋_GB2312" w:eastAsia="仿宋_GB2312" w:hint="eastAsia"/>
          <w:sz w:val="30"/>
          <w:szCs w:val="30"/>
        </w:rPr>
        <w:t>保证金抵货款：只有当合同交割率≥70%，并且保证金金额≥未付货款时，保证金方可抵货款。</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w:t>
      </w:r>
      <w:r>
        <w:rPr>
          <w:rFonts w:ascii="仿宋_GB2312" w:eastAsia="仿宋_GB2312" w:hint="eastAsia"/>
          <w:sz w:val="30"/>
          <w:szCs w:val="30"/>
        </w:rPr>
        <w:lastRenderedPageBreak/>
        <w:t>对后复印并与其他证明资料一并留存。</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rsidR="00CF69E4" w:rsidRDefault="000E47FD">
      <w:pPr>
        <w:tabs>
          <w:tab w:val="left" w:pos="-180"/>
          <w:tab w:val="left" w:pos="2012"/>
        </w:tabs>
        <w:ind w:firstLineChars="200" w:firstLine="602"/>
        <w:rPr>
          <w:rFonts w:ascii="仿宋_GB2312" w:eastAsia="仿宋_GB2312"/>
          <w:b/>
          <w:sz w:val="30"/>
          <w:szCs w:val="30"/>
        </w:rPr>
      </w:pPr>
      <w:r>
        <w:rPr>
          <w:rFonts w:ascii="仿宋_GB2312" w:eastAsia="仿宋_GB2312" w:hint="eastAsia"/>
          <w:b/>
          <w:sz w:val="30"/>
          <w:szCs w:val="30"/>
        </w:rPr>
        <w:t>第四十条</w:t>
      </w:r>
      <w:r>
        <w:rPr>
          <w:rFonts w:ascii="仿宋_GB2312" w:eastAsia="仿宋_GB2312" w:hint="eastAsia"/>
          <w:sz w:val="30"/>
          <w:szCs w:val="30"/>
        </w:rPr>
        <w:t xml:space="preserve"> 交割期。交割期原则上按照双方合同约定执行，如有特殊情况，销售合同和采购合同的出入库期限以交易清单为准。如中标方不能按期出库，须于合同到期日前十个工作日事先与委托方协商延期事宜，协商达成一致并缴付全部货款后，双方方可签订延期出库协议，并在协议中明确延期期间仓储费和延期时间。</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rsidR="00CF69E4" w:rsidRDefault="000E47FD">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验收包括质量验收和数量验收。委托方销售粮食数量、质量均以交易标的实物为准，不做水、杂增扣量。</w:t>
      </w:r>
    </w:p>
    <w:p w:rsidR="00CF69E4" w:rsidRDefault="000E47FD">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w:t>
      </w:r>
      <w:r>
        <w:rPr>
          <w:rFonts w:ascii="仿宋_GB2312" w:eastAsia="仿宋_GB2312" w:hint="eastAsia"/>
          <w:sz w:val="30"/>
          <w:szCs w:val="30"/>
        </w:rPr>
        <w:lastRenderedPageBreak/>
        <w:t>技术监督部门重新鉴定，费用由过错方承担。</w:t>
      </w:r>
    </w:p>
    <w:p w:rsidR="00CF69E4" w:rsidRDefault="000E47FD">
      <w:pPr>
        <w:tabs>
          <w:tab w:val="left" w:pos="-180"/>
          <w:tab w:val="left" w:pos="1303"/>
        </w:tabs>
        <w:ind w:firstLineChars="200" w:firstLine="600"/>
        <w:rPr>
          <w:rFonts w:ascii="仿宋_GB2312" w:eastAsia="仿宋_GB2312"/>
          <w:color w:val="FF0000"/>
          <w:sz w:val="30"/>
          <w:szCs w:val="30"/>
        </w:rPr>
      </w:pPr>
      <w:r>
        <w:rPr>
          <w:rFonts w:ascii="仿宋_GB2312" w:eastAsia="仿宋_GB2312" w:hint="eastAsia"/>
          <w:color w:val="FF0000"/>
          <w:sz w:val="30"/>
          <w:szCs w:val="30"/>
        </w:rPr>
        <w:t>对采购合同入库新粮，如双方对检验结果存在争议，可申请中储粮湖南分公司质监中心进行复检，复检</w:t>
      </w:r>
      <w:r w:rsidR="00BF6DC2">
        <w:rPr>
          <w:rFonts w:ascii="仿宋_GB2312" w:eastAsia="仿宋_GB2312" w:hint="eastAsia"/>
          <w:color w:val="FF0000"/>
          <w:sz w:val="30"/>
          <w:szCs w:val="30"/>
        </w:rPr>
        <w:t>结果</w:t>
      </w:r>
      <w:r>
        <w:rPr>
          <w:rFonts w:ascii="仿宋_GB2312" w:eastAsia="仿宋_GB2312" w:hint="eastAsia"/>
          <w:color w:val="FF0000"/>
          <w:sz w:val="30"/>
          <w:szCs w:val="30"/>
        </w:rPr>
        <w:t>为最终结果。</w:t>
      </w:r>
    </w:p>
    <w:p w:rsidR="00CF69E4" w:rsidRDefault="000E47FD">
      <w:pPr>
        <w:tabs>
          <w:tab w:val="left" w:pos="-180"/>
          <w:tab w:val="left" w:pos="1303"/>
        </w:tabs>
        <w:ind w:firstLineChars="200" w:firstLine="602"/>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委托方（中标方）在交易结算完结后5个工作日内根据国家有关政策规定开具正规发票。</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交割过程中双方对所交割货物出现异议的，由中标方和委托方先行协商。协商不能解决的，在交割期内向电子商务部提交商务调解申请，电子商务部接到商务调解申请及举证材料后，交由商务协调小组进行材料核实，并出具调解结果。双方认同调解结果的，应遵照调解结果执行；对调解结果有异议的，各方可通过其他法律途径解决。</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w:t>
      </w:r>
      <w:r>
        <w:rPr>
          <w:rFonts w:ascii="仿宋_GB2312" w:eastAsia="仿宋_GB2312" w:hint="eastAsia"/>
          <w:sz w:val="30"/>
          <w:szCs w:val="30"/>
        </w:rPr>
        <w:lastRenderedPageBreak/>
        <w:t>线出金申请。在银行工作时间内，原则上资金将实时转出，如遇特殊情况，最长不超过2个工作日。</w:t>
      </w:r>
    </w:p>
    <w:p w:rsidR="00CF69E4" w:rsidRDefault="00CF69E4">
      <w:pPr>
        <w:tabs>
          <w:tab w:val="left" w:pos="-180"/>
        </w:tabs>
        <w:ind w:firstLineChars="200" w:firstLine="600"/>
        <w:rPr>
          <w:rFonts w:ascii="仿宋_GB2312" w:eastAsia="仿宋_GB2312"/>
          <w:sz w:val="30"/>
          <w:szCs w:val="30"/>
        </w:rPr>
      </w:pPr>
    </w:p>
    <w:p w:rsidR="00CF69E4" w:rsidRDefault="000E47FD">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（二）对电子商务部及商务协调小组调解结果未提出书面异议但不履行或不完全履行该调解结果的行为；</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商务协调小组为电子商务部专设机构，针对交易双方所发生的商务纠纷进行商务调解。经协商或调解达成一致意见的，形成协议书，电子商务部将根据协议书对纠纷双方进行相应的商务处理。未达成一致意见的，交易双方可依法通过其他法律途径解决。</w:t>
      </w:r>
    </w:p>
    <w:p w:rsidR="00CF69E4" w:rsidRDefault="000E47FD">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rsidR="00CF69E4" w:rsidRDefault="000E47FD">
      <w:pPr>
        <w:ind w:firstLineChars="200" w:firstLine="600"/>
        <w:rPr>
          <w:rFonts w:ascii="仿宋_GB2312" w:eastAsia="仿宋_GB2312"/>
          <w:sz w:val="30"/>
          <w:szCs w:val="30"/>
        </w:rPr>
      </w:pPr>
      <w:r>
        <w:rPr>
          <w:rFonts w:ascii="仿宋_GB2312" w:eastAsia="仿宋_GB2312" w:hint="eastAsia"/>
          <w:sz w:val="30"/>
          <w:szCs w:val="30"/>
        </w:rPr>
        <w:t>（一）对违约行为，电子商务部对会员依次进行提示、劝告、扣除其相应的保证金，对多次、严重或恶意违约的会员，将取消</w:t>
      </w:r>
      <w:r>
        <w:rPr>
          <w:rFonts w:ascii="仿宋_GB2312" w:eastAsia="仿宋_GB2312" w:hint="eastAsia"/>
          <w:sz w:val="30"/>
          <w:szCs w:val="30"/>
        </w:rPr>
        <w:lastRenderedPageBreak/>
        <w:t>其会员资格，并追究相关责任；</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（二）电子商务部有权对涉及违约会员的保证金进行清算，并将过错方违约数量对应的履约保证金划转至无过错方账户，无过错方相应资金予以退还；</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三）对于进行虚假交易、恶意交易行为方，其交易保证金将由电子商务部作为违约金直接全额划转至中储粮网账户；对违约行为的过错方对应违约数量的交易保证金，同样由电子商务部作为违约金直接划转至中储粮网账户。</w:t>
      </w:r>
    </w:p>
    <w:p w:rsidR="00CF69E4" w:rsidRDefault="000E47FD">
      <w:pPr>
        <w:tabs>
          <w:tab w:val="left" w:pos="-180"/>
        </w:tabs>
        <w:ind w:firstLineChars="200" w:firstLine="600"/>
        <w:rPr>
          <w:rFonts w:ascii="仿宋_GB2312" w:eastAsia="仿宋_GB2312"/>
          <w:sz w:val="30"/>
          <w:szCs w:val="30"/>
        </w:rPr>
      </w:pPr>
      <w:r>
        <w:rPr>
          <w:rFonts w:ascii="仿宋_GB2312" w:eastAsia="仿宋_GB2312" w:hint="eastAsia"/>
          <w:sz w:val="30"/>
          <w:szCs w:val="30"/>
        </w:rPr>
        <w:t>（四）电子商务部将清算结果通知相关会员。</w:t>
      </w:r>
    </w:p>
    <w:p w:rsidR="00CF69E4" w:rsidRDefault="00CF69E4">
      <w:pPr>
        <w:ind w:firstLineChars="200" w:firstLine="600"/>
        <w:rPr>
          <w:rFonts w:ascii="仿宋_GB2312" w:eastAsia="仿宋_GB2312"/>
          <w:sz w:val="30"/>
          <w:szCs w:val="30"/>
        </w:rPr>
      </w:pPr>
    </w:p>
    <w:p w:rsidR="00CF69E4" w:rsidRDefault="000E47FD">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w:t>
      </w:r>
      <w:r>
        <w:rPr>
          <w:rFonts w:ascii="仿宋_GB2312" w:eastAsia="仿宋_GB2312" w:hint="eastAsia"/>
          <w:sz w:val="30"/>
          <w:szCs w:val="30"/>
        </w:rPr>
        <w:lastRenderedPageBreak/>
        <w:t>承担。</w:t>
      </w:r>
    </w:p>
    <w:p w:rsidR="00CF69E4" w:rsidRDefault="000E47FD">
      <w:pPr>
        <w:tabs>
          <w:tab w:val="left" w:pos="-180"/>
        </w:tabs>
        <w:ind w:firstLineChars="200" w:firstLine="602"/>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性质是第三方交易平台，不是合同一方，中储粮网对于会员所发布信息的合法性、真实性及履约交易能力等，不做任何担保，风险由会员自行承担。如会员因使用中储粮网而受到利益损害时，中储粮网不负任何补偿或赔偿责任。除非法律及本细则有明确规定，中储粮网对交易双方产生的合同纠纷不承担任何责任。</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在保证网上交易公平、公正、公开的前提下，电子商务部有权对会员注册数据及交易数据进行查阅，并可按照法定程序、中储粮储运有限公司的规定将数据提供给相关行政管理部门。</w:t>
      </w:r>
    </w:p>
    <w:p w:rsidR="00CF69E4" w:rsidRDefault="00CF69E4">
      <w:pPr>
        <w:tabs>
          <w:tab w:val="left" w:pos="-180"/>
        </w:tabs>
        <w:ind w:firstLineChars="200" w:firstLine="600"/>
        <w:jc w:val="center"/>
        <w:rPr>
          <w:rFonts w:ascii="黑体" w:eastAsia="黑体" w:hAnsi="黑体"/>
          <w:sz w:val="30"/>
          <w:szCs w:val="30"/>
        </w:rPr>
      </w:pPr>
    </w:p>
    <w:p w:rsidR="00CF69E4" w:rsidRDefault="000E47FD">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CF69E4" w:rsidRDefault="000E47FD">
      <w:pPr>
        <w:tabs>
          <w:tab w:val="left" w:pos="-180"/>
          <w:tab w:val="left" w:pos="2012"/>
        </w:tabs>
        <w:ind w:firstLineChars="200" w:firstLine="602"/>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本细则的解释权归中储粮储运有限公司电子商务部所有。</w:t>
      </w:r>
    </w:p>
    <w:p w:rsidR="00CF69E4" w:rsidRDefault="000E47FD">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rsidR="00CF69E4" w:rsidRDefault="000E47FD">
      <w:pPr>
        <w:tabs>
          <w:tab w:val="left" w:pos="-180"/>
          <w:tab w:val="left" w:pos="2012"/>
        </w:tabs>
        <w:ind w:firstLineChars="200" w:firstLine="602"/>
      </w:pPr>
      <w:r>
        <w:rPr>
          <w:rFonts w:ascii="仿宋_GB2312" w:eastAsia="仿宋_GB2312" w:hint="eastAsia"/>
          <w:b/>
          <w:sz w:val="30"/>
          <w:szCs w:val="30"/>
        </w:rPr>
        <w:t xml:space="preserve">第五十五条 </w:t>
      </w:r>
      <w:r>
        <w:rPr>
          <w:rFonts w:ascii="仿宋_GB2312" w:eastAsia="仿宋_GB2312" w:hint="eastAsia"/>
          <w:sz w:val="30"/>
          <w:szCs w:val="30"/>
        </w:rPr>
        <w:t>本细则仅适用于中储粮</w:t>
      </w:r>
      <w:bookmarkStart w:id="2" w:name="_GoBack"/>
      <w:bookmarkEnd w:id="2"/>
      <w:r>
        <w:rPr>
          <w:rFonts w:ascii="仿宋_GB2312" w:eastAsia="仿宋_GB2312" w:hint="eastAsia"/>
          <w:sz w:val="30"/>
          <w:szCs w:val="30"/>
        </w:rPr>
        <w:t>湖南分公司委托的本竞价专场交易，并自发布之日起执行。</w:t>
      </w:r>
    </w:p>
    <w:sectPr w:rsidR="00CF69E4" w:rsidSect="00CF69E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37E8" w:rsidRDefault="009B37E8" w:rsidP="00BF6DC2">
      <w:r>
        <w:separator/>
      </w:r>
    </w:p>
  </w:endnote>
  <w:endnote w:type="continuationSeparator" w:id="0">
    <w:p w:rsidR="009B37E8" w:rsidRDefault="009B37E8" w:rsidP="00BF6DC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37E8" w:rsidRDefault="009B37E8" w:rsidP="00BF6DC2">
      <w:r>
        <w:separator/>
      </w:r>
    </w:p>
  </w:footnote>
  <w:footnote w:type="continuationSeparator" w:id="0">
    <w:p w:rsidR="009B37E8" w:rsidRDefault="009B37E8" w:rsidP="00BF6DC2">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trackRevisions/>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4C88"/>
    <w:rsid w:val="000148FB"/>
    <w:rsid w:val="00015D6F"/>
    <w:rsid w:val="00057888"/>
    <w:rsid w:val="000602ED"/>
    <w:rsid w:val="00074C88"/>
    <w:rsid w:val="000807CA"/>
    <w:rsid w:val="000A0FE7"/>
    <w:rsid w:val="000B1D6E"/>
    <w:rsid w:val="000C0C39"/>
    <w:rsid w:val="000C171D"/>
    <w:rsid w:val="000D5C56"/>
    <w:rsid w:val="000E47FD"/>
    <w:rsid w:val="001009E4"/>
    <w:rsid w:val="001029A6"/>
    <w:rsid w:val="0010520B"/>
    <w:rsid w:val="00120EFA"/>
    <w:rsid w:val="00121C84"/>
    <w:rsid w:val="00124494"/>
    <w:rsid w:val="0019295F"/>
    <w:rsid w:val="00193744"/>
    <w:rsid w:val="001A5243"/>
    <w:rsid w:val="001B686B"/>
    <w:rsid w:val="001C27D4"/>
    <w:rsid w:val="001C597A"/>
    <w:rsid w:val="00223EAB"/>
    <w:rsid w:val="00224E3B"/>
    <w:rsid w:val="0023334C"/>
    <w:rsid w:val="00234F9A"/>
    <w:rsid w:val="002352CC"/>
    <w:rsid w:val="00247E59"/>
    <w:rsid w:val="00250DE3"/>
    <w:rsid w:val="00260EFD"/>
    <w:rsid w:val="00261735"/>
    <w:rsid w:val="002618F9"/>
    <w:rsid w:val="00266C79"/>
    <w:rsid w:val="0027401F"/>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C34EB"/>
    <w:rsid w:val="003D5F6E"/>
    <w:rsid w:val="003E15E7"/>
    <w:rsid w:val="003E73E8"/>
    <w:rsid w:val="003F1CEE"/>
    <w:rsid w:val="003F7066"/>
    <w:rsid w:val="00407459"/>
    <w:rsid w:val="00412A8B"/>
    <w:rsid w:val="004143CA"/>
    <w:rsid w:val="00415F04"/>
    <w:rsid w:val="00445AAE"/>
    <w:rsid w:val="0047099A"/>
    <w:rsid w:val="00474389"/>
    <w:rsid w:val="00481AF9"/>
    <w:rsid w:val="004972E3"/>
    <w:rsid w:val="004B40E0"/>
    <w:rsid w:val="004D2CAA"/>
    <w:rsid w:val="00520305"/>
    <w:rsid w:val="00537CAD"/>
    <w:rsid w:val="00545264"/>
    <w:rsid w:val="00560B2C"/>
    <w:rsid w:val="005617CE"/>
    <w:rsid w:val="005733C5"/>
    <w:rsid w:val="0057650F"/>
    <w:rsid w:val="00580CFD"/>
    <w:rsid w:val="005904A6"/>
    <w:rsid w:val="005C7C20"/>
    <w:rsid w:val="005D1C42"/>
    <w:rsid w:val="006025A6"/>
    <w:rsid w:val="00625FDD"/>
    <w:rsid w:val="00632E2E"/>
    <w:rsid w:val="006508E8"/>
    <w:rsid w:val="00653842"/>
    <w:rsid w:val="006544B8"/>
    <w:rsid w:val="006649FD"/>
    <w:rsid w:val="0066502B"/>
    <w:rsid w:val="00666B80"/>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B2904"/>
    <w:rsid w:val="007E1425"/>
    <w:rsid w:val="007F3486"/>
    <w:rsid w:val="00802B26"/>
    <w:rsid w:val="00806B4D"/>
    <w:rsid w:val="008126D1"/>
    <w:rsid w:val="00864E63"/>
    <w:rsid w:val="00877A57"/>
    <w:rsid w:val="00880B2D"/>
    <w:rsid w:val="0089463F"/>
    <w:rsid w:val="008979D4"/>
    <w:rsid w:val="008A0E29"/>
    <w:rsid w:val="008B38DC"/>
    <w:rsid w:val="008D2A15"/>
    <w:rsid w:val="008D54F5"/>
    <w:rsid w:val="008E6F06"/>
    <w:rsid w:val="00913941"/>
    <w:rsid w:val="0096210C"/>
    <w:rsid w:val="00982D7E"/>
    <w:rsid w:val="009956AC"/>
    <w:rsid w:val="009A0BCB"/>
    <w:rsid w:val="009A4981"/>
    <w:rsid w:val="009A6A17"/>
    <w:rsid w:val="009B37E8"/>
    <w:rsid w:val="009C4C61"/>
    <w:rsid w:val="009D08C2"/>
    <w:rsid w:val="009E2EB1"/>
    <w:rsid w:val="009F06A5"/>
    <w:rsid w:val="009F3B92"/>
    <w:rsid w:val="009F3D96"/>
    <w:rsid w:val="00A014FD"/>
    <w:rsid w:val="00A25497"/>
    <w:rsid w:val="00A35057"/>
    <w:rsid w:val="00A52762"/>
    <w:rsid w:val="00A601FF"/>
    <w:rsid w:val="00A60794"/>
    <w:rsid w:val="00A678C4"/>
    <w:rsid w:val="00A73625"/>
    <w:rsid w:val="00A75B05"/>
    <w:rsid w:val="00A8650F"/>
    <w:rsid w:val="00AA0A2D"/>
    <w:rsid w:val="00AC7F35"/>
    <w:rsid w:val="00B04612"/>
    <w:rsid w:val="00B13108"/>
    <w:rsid w:val="00B1415E"/>
    <w:rsid w:val="00B2646C"/>
    <w:rsid w:val="00B542C9"/>
    <w:rsid w:val="00BD57A5"/>
    <w:rsid w:val="00BF5386"/>
    <w:rsid w:val="00BF6DC2"/>
    <w:rsid w:val="00C038A7"/>
    <w:rsid w:val="00C16D08"/>
    <w:rsid w:val="00C24AD7"/>
    <w:rsid w:val="00C34C7E"/>
    <w:rsid w:val="00C500CC"/>
    <w:rsid w:val="00C7052D"/>
    <w:rsid w:val="00C915AA"/>
    <w:rsid w:val="00CA200F"/>
    <w:rsid w:val="00CA7121"/>
    <w:rsid w:val="00CF69E4"/>
    <w:rsid w:val="00D12DA9"/>
    <w:rsid w:val="00D25A1A"/>
    <w:rsid w:val="00D25D24"/>
    <w:rsid w:val="00D35B33"/>
    <w:rsid w:val="00D51C0F"/>
    <w:rsid w:val="00D82015"/>
    <w:rsid w:val="00D963DE"/>
    <w:rsid w:val="00DD48F5"/>
    <w:rsid w:val="00E3024D"/>
    <w:rsid w:val="00E43467"/>
    <w:rsid w:val="00E4765F"/>
    <w:rsid w:val="00E529BF"/>
    <w:rsid w:val="00E67692"/>
    <w:rsid w:val="00E70425"/>
    <w:rsid w:val="00E82455"/>
    <w:rsid w:val="00E9787C"/>
    <w:rsid w:val="00EA7885"/>
    <w:rsid w:val="00EC71BA"/>
    <w:rsid w:val="00ED76C5"/>
    <w:rsid w:val="00EE0505"/>
    <w:rsid w:val="00F3526B"/>
    <w:rsid w:val="00F46DFD"/>
    <w:rsid w:val="00F50352"/>
    <w:rsid w:val="00F700A3"/>
    <w:rsid w:val="00F73FE3"/>
    <w:rsid w:val="00FA1478"/>
    <w:rsid w:val="00FF649E"/>
    <w:rsid w:val="01F946D0"/>
    <w:rsid w:val="026524D6"/>
    <w:rsid w:val="029D1FFA"/>
    <w:rsid w:val="02FF6C8C"/>
    <w:rsid w:val="04327652"/>
    <w:rsid w:val="050D230C"/>
    <w:rsid w:val="05437070"/>
    <w:rsid w:val="06350F6D"/>
    <w:rsid w:val="076370EC"/>
    <w:rsid w:val="08142F38"/>
    <w:rsid w:val="08602BEF"/>
    <w:rsid w:val="0A476AC6"/>
    <w:rsid w:val="0C902FB8"/>
    <w:rsid w:val="0CAC7138"/>
    <w:rsid w:val="0FF514E0"/>
    <w:rsid w:val="11164A09"/>
    <w:rsid w:val="12141461"/>
    <w:rsid w:val="12440113"/>
    <w:rsid w:val="138F2D8E"/>
    <w:rsid w:val="14DC140F"/>
    <w:rsid w:val="16DC49E9"/>
    <w:rsid w:val="184C2847"/>
    <w:rsid w:val="1B4B485D"/>
    <w:rsid w:val="1C6C55B3"/>
    <w:rsid w:val="21412179"/>
    <w:rsid w:val="22D97FA8"/>
    <w:rsid w:val="232D7D4F"/>
    <w:rsid w:val="234548AF"/>
    <w:rsid w:val="25A96D23"/>
    <w:rsid w:val="26B967BC"/>
    <w:rsid w:val="284D740D"/>
    <w:rsid w:val="2B927598"/>
    <w:rsid w:val="2BBC1C71"/>
    <w:rsid w:val="2E964FB4"/>
    <w:rsid w:val="311E3E1A"/>
    <w:rsid w:val="31861B6F"/>
    <w:rsid w:val="325579E8"/>
    <w:rsid w:val="32747C4B"/>
    <w:rsid w:val="328D45C5"/>
    <w:rsid w:val="32E54AA3"/>
    <w:rsid w:val="337A0147"/>
    <w:rsid w:val="33B759D5"/>
    <w:rsid w:val="343844D9"/>
    <w:rsid w:val="343E7062"/>
    <w:rsid w:val="3BF21089"/>
    <w:rsid w:val="3C19244A"/>
    <w:rsid w:val="3C2644E2"/>
    <w:rsid w:val="3D8516ED"/>
    <w:rsid w:val="3EF00F76"/>
    <w:rsid w:val="3EF85F15"/>
    <w:rsid w:val="41197765"/>
    <w:rsid w:val="443276D0"/>
    <w:rsid w:val="459B05A9"/>
    <w:rsid w:val="4668225B"/>
    <w:rsid w:val="492B2744"/>
    <w:rsid w:val="53F3371D"/>
    <w:rsid w:val="56AD04DA"/>
    <w:rsid w:val="5B141DCF"/>
    <w:rsid w:val="5C74035F"/>
    <w:rsid w:val="60BC5EE8"/>
    <w:rsid w:val="60F163C0"/>
    <w:rsid w:val="61424350"/>
    <w:rsid w:val="64635A96"/>
    <w:rsid w:val="66921353"/>
    <w:rsid w:val="67440C25"/>
    <w:rsid w:val="6AA525A9"/>
    <w:rsid w:val="6D2711C7"/>
    <w:rsid w:val="6D85393F"/>
    <w:rsid w:val="6E8A1381"/>
    <w:rsid w:val="6FF82499"/>
    <w:rsid w:val="717A7BF5"/>
    <w:rsid w:val="74CF6B04"/>
    <w:rsid w:val="74ED460C"/>
    <w:rsid w:val="759F41A0"/>
    <w:rsid w:val="766A504B"/>
    <w:rsid w:val="76F4058F"/>
    <w:rsid w:val="79222456"/>
    <w:rsid w:val="7A5A14E6"/>
    <w:rsid w:val="7A724300"/>
    <w:rsid w:val="7AF218BF"/>
    <w:rsid w:val="7B4257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99" w:qFormat="1"/>
    <w:lsdException w:name="footer" w:semiHidden="0" w:uiPriority="99" w:qFormat="1"/>
    <w:lsdException w:name="caption" w:uiPriority="35" w:qFormat="1"/>
    <w:lsdException w:name="annotation reference" w:semiHidden="0"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99" w:qFormat="1"/>
    <w:lsdException w:name="FollowedHyperlink" w:semiHidden="0" w:uiPriority="99" w:qFormat="1"/>
    <w:lsdException w:name="Strong" w:semiHidden="0" w:uiPriority="22" w:unhideWhenUsed="0" w:qFormat="1"/>
    <w:lsdException w:name="Emphasis" w:semiHidden="0" w:uiPriority="20" w:unhideWhenUsed="0" w:qFormat="1"/>
    <w:lsdException w:name="Document Map" w:qFormat="1"/>
    <w:lsdException w:name="HTML Top of Form" w:uiPriority="99"/>
    <w:lsdException w:name="HTML Bottom of Form" w:uiPriority="99"/>
    <w:lsdException w:name="Normal Table" w:uiPriority="99" w:qFormat="1"/>
    <w:lsdException w:name="annotation subject" w:semiHidden="0"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qFormat="1"/>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69E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semiHidden/>
    <w:unhideWhenUsed/>
    <w:qFormat/>
    <w:rsid w:val="00CF69E4"/>
    <w:rPr>
      <w:rFonts w:ascii="宋体"/>
      <w:sz w:val="18"/>
      <w:szCs w:val="18"/>
    </w:rPr>
  </w:style>
  <w:style w:type="paragraph" w:styleId="a4">
    <w:name w:val="annotation text"/>
    <w:basedOn w:val="a"/>
    <w:link w:val="Char0"/>
    <w:unhideWhenUsed/>
    <w:qFormat/>
    <w:rsid w:val="00CF69E4"/>
    <w:pPr>
      <w:jc w:val="left"/>
    </w:pPr>
  </w:style>
  <w:style w:type="paragraph" w:styleId="a5">
    <w:name w:val="Balloon Text"/>
    <w:basedOn w:val="a"/>
    <w:link w:val="Char1"/>
    <w:uiPriority w:val="99"/>
    <w:unhideWhenUsed/>
    <w:qFormat/>
    <w:rsid w:val="00CF69E4"/>
    <w:rPr>
      <w:sz w:val="18"/>
      <w:szCs w:val="18"/>
    </w:rPr>
  </w:style>
  <w:style w:type="paragraph" w:styleId="a6">
    <w:name w:val="footer"/>
    <w:basedOn w:val="a"/>
    <w:link w:val="Char2"/>
    <w:uiPriority w:val="99"/>
    <w:unhideWhenUsed/>
    <w:qFormat/>
    <w:rsid w:val="00CF69E4"/>
    <w:pPr>
      <w:tabs>
        <w:tab w:val="center" w:pos="4153"/>
        <w:tab w:val="right" w:pos="8306"/>
      </w:tabs>
      <w:snapToGrid w:val="0"/>
      <w:jc w:val="left"/>
    </w:pPr>
    <w:rPr>
      <w:kern w:val="0"/>
      <w:sz w:val="18"/>
      <w:szCs w:val="18"/>
    </w:rPr>
  </w:style>
  <w:style w:type="paragraph" w:styleId="a7">
    <w:name w:val="header"/>
    <w:basedOn w:val="a"/>
    <w:link w:val="Char3"/>
    <w:uiPriority w:val="99"/>
    <w:unhideWhenUsed/>
    <w:qFormat/>
    <w:rsid w:val="00CF69E4"/>
    <w:pPr>
      <w:pBdr>
        <w:bottom w:val="single" w:sz="6" w:space="1" w:color="auto"/>
      </w:pBdr>
      <w:tabs>
        <w:tab w:val="center" w:pos="4153"/>
        <w:tab w:val="right" w:pos="8306"/>
      </w:tabs>
      <w:snapToGrid w:val="0"/>
      <w:jc w:val="center"/>
    </w:pPr>
    <w:rPr>
      <w:kern w:val="0"/>
      <w:sz w:val="18"/>
      <w:szCs w:val="18"/>
    </w:rPr>
  </w:style>
  <w:style w:type="paragraph" w:styleId="a8">
    <w:name w:val="annotation subject"/>
    <w:basedOn w:val="a4"/>
    <w:next w:val="a4"/>
    <w:link w:val="Char4"/>
    <w:unhideWhenUsed/>
    <w:qFormat/>
    <w:rsid w:val="00CF69E4"/>
    <w:rPr>
      <w:b/>
      <w:bCs/>
    </w:rPr>
  </w:style>
  <w:style w:type="character" w:styleId="a9">
    <w:name w:val="FollowedHyperlink"/>
    <w:uiPriority w:val="99"/>
    <w:unhideWhenUsed/>
    <w:qFormat/>
    <w:rsid w:val="00CF69E4"/>
    <w:rPr>
      <w:color w:val="800080"/>
      <w:u w:val="single"/>
    </w:rPr>
  </w:style>
  <w:style w:type="character" w:styleId="aa">
    <w:name w:val="Hyperlink"/>
    <w:uiPriority w:val="99"/>
    <w:unhideWhenUsed/>
    <w:qFormat/>
    <w:rsid w:val="00CF69E4"/>
    <w:rPr>
      <w:color w:val="0000FF"/>
      <w:u w:val="single"/>
    </w:rPr>
  </w:style>
  <w:style w:type="character" w:styleId="ab">
    <w:name w:val="annotation reference"/>
    <w:unhideWhenUsed/>
    <w:qFormat/>
    <w:rsid w:val="00CF69E4"/>
    <w:rPr>
      <w:sz w:val="21"/>
      <w:szCs w:val="21"/>
    </w:rPr>
  </w:style>
  <w:style w:type="paragraph" w:customStyle="1" w:styleId="1">
    <w:name w:val="列出段落1"/>
    <w:basedOn w:val="a"/>
    <w:uiPriority w:val="99"/>
    <w:unhideWhenUsed/>
    <w:qFormat/>
    <w:rsid w:val="00CF69E4"/>
    <w:pPr>
      <w:ind w:firstLineChars="200" w:firstLine="420"/>
    </w:pPr>
  </w:style>
  <w:style w:type="character" w:customStyle="1" w:styleId="Char3">
    <w:name w:val="页眉 Char"/>
    <w:link w:val="a7"/>
    <w:uiPriority w:val="99"/>
    <w:qFormat/>
    <w:rsid w:val="00CF69E4"/>
    <w:rPr>
      <w:sz w:val="18"/>
      <w:szCs w:val="18"/>
    </w:rPr>
  </w:style>
  <w:style w:type="character" w:customStyle="1" w:styleId="Char2">
    <w:name w:val="页脚 Char"/>
    <w:link w:val="a6"/>
    <w:uiPriority w:val="99"/>
    <w:qFormat/>
    <w:rsid w:val="00CF69E4"/>
    <w:rPr>
      <w:sz w:val="18"/>
      <w:szCs w:val="18"/>
    </w:rPr>
  </w:style>
  <w:style w:type="character" w:customStyle="1" w:styleId="Char1">
    <w:name w:val="批注框文本 Char"/>
    <w:link w:val="a5"/>
    <w:uiPriority w:val="99"/>
    <w:qFormat/>
    <w:rsid w:val="00CF69E4"/>
    <w:rPr>
      <w:kern w:val="2"/>
      <w:sz w:val="18"/>
      <w:szCs w:val="18"/>
    </w:rPr>
  </w:style>
  <w:style w:type="character" w:customStyle="1" w:styleId="Char0">
    <w:name w:val="批注文字 Char"/>
    <w:link w:val="a4"/>
    <w:qFormat/>
    <w:rsid w:val="00CF69E4"/>
    <w:rPr>
      <w:kern w:val="2"/>
      <w:sz w:val="21"/>
      <w:szCs w:val="24"/>
    </w:rPr>
  </w:style>
  <w:style w:type="character" w:customStyle="1" w:styleId="Char4">
    <w:name w:val="批注主题 Char"/>
    <w:link w:val="a8"/>
    <w:qFormat/>
    <w:rsid w:val="00CF69E4"/>
    <w:rPr>
      <w:b/>
      <w:bCs/>
      <w:kern w:val="2"/>
      <w:sz w:val="21"/>
      <w:szCs w:val="24"/>
    </w:rPr>
  </w:style>
  <w:style w:type="character" w:customStyle="1" w:styleId="Char">
    <w:name w:val="文档结构图 Char"/>
    <w:link w:val="a3"/>
    <w:semiHidden/>
    <w:qFormat/>
    <w:rsid w:val="00CF69E4"/>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15</Pages>
  <Words>1096</Words>
  <Characters>6251</Characters>
  <Application>Microsoft Office Word</Application>
  <DocSecurity>0</DocSecurity>
  <Lines>52</Lines>
  <Paragraphs>14</Paragraphs>
  <ScaleCrop>false</ScaleCrop>
  <Company>Lenovo</Company>
  <LinksUpToDate>false</LinksUpToDate>
  <CharactersWithSpaces>7333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中储粮山西分公司玉米竞价销售专场交易细则</dc:title>
  <dc:creator>sysun</dc:creator>
  <cp:lastModifiedBy>Administrator</cp:lastModifiedBy>
  <cp:revision>4</cp:revision>
  <cp:lastPrinted>2019-01-08T06:43:00Z</cp:lastPrinted>
  <dcterms:created xsi:type="dcterms:W3CDTF">2021-03-02T17:06:00Z</dcterms:created>
  <dcterms:modified xsi:type="dcterms:W3CDTF">2021-03-02T17:23:00Z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