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80363">
      <w:pPr>
        <w:rPr>
          <w:rFonts w:ascii="黑体" w:eastAsia="黑体"/>
          <w:b/>
          <w:sz w:val="44"/>
          <w:szCs w:val="44"/>
        </w:rPr>
      </w:pPr>
    </w:p>
    <w:p w14:paraId="0BB6DCFC">
      <w:pPr>
        <w:jc w:val="center"/>
        <w:rPr>
          <w:rFonts w:ascii="宋体" w:hAnsi="宋体" w:cs="宋体"/>
          <w:b/>
          <w:sz w:val="36"/>
          <w:szCs w:val="36"/>
        </w:rPr>
      </w:pPr>
      <w:r>
        <w:rPr>
          <w:rFonts w:hint="eastAsia" w:ascii="宋体" w:hAnsi="宋体" w:cs="宋体"/>
          <w:b/>
          <w:sz w:val="36"/>
          <w:szCs w:val="36"/>
        </w:rPr>
        <w:t>中储粮</w:t>
      </w:r>
      <w:permStart w:id="0" w:edGrp="everyone"/>
      <w:r>
        <w:rPr>
          <w:rFonts w:hint="eastAsia" w:ascii="宋体" w:hAnsi="宋体" w:cs="宋体"/>
          <w:b/>
          <w:sz w:val="36"/>
          <w:szCs w:val="36"/>
        </w:rPr>
        <w:t>油脂</w:t>
      </w:r>
      <w:permEnd w:id="0"/>
      <w:r>
        <w:rPr>
          <w:rFonts w:hint="eastAsia" w:ascii="宋体" w:hAnsi="宋体" w:cs="宋体"/>
          <w:b/>
          <w:sz w:val="36"/>
          <w:szCs w:val="36"/>
        </w:rPr>
        <w:t>公司</w:t>
      </w:r>
      <w:permStart w:id="1" w:edGrp="everyone"/>
      <w:r>
        <w:rPr>
          <w:rFonts w:hint="eastAsia" w:ascii="宋体" w:hAnsi="宋体" w:cs="宋体"/>
          <w:b/>
          <w:sz w:val="36"/>
          <w:szCs w:val="36"/>
        </w:rPr>
        <w:t>菜籽油</w:t>
      </w:r>
      <w:permEnd w:id="1"/>
      <w:r>
        <w:rPr>
          <w:rFonts w:hint="eastAsia" w:ascii="宋体" w:hAnsi="宋体" w:cs="宋体"/>
          <w:b/>
          <w:sz w:val="36"/>
          <w:szCs w:val="36"/>
        </w:rPr>
        <w:t>购销双向</w:t>
      </w:r>
    </w:p>
    <w:p w14:paraId="0148783B">
      <w:pPr>
        <w:jc w:val="center"/>
        <w:rPr>
          <w:rFonts w:ascii="宋体" w:hAnsi="宋体" w:cs="宋体"/>
          <w:b/>
          <w:sz w:val="36"/>
          <w:szCs w:val="36"/>
        </w:rPr>
      </w:pPr>
      <w:r>
        <w:rPr>
          <w:rFonts w:hint="eastAsia" w:ascii="宋体" w:hAnsi="宋体" w:cs="宋体"/>
          <w:b/>
          <w:sz w:val="36"/>
          <w:szCs w:val="36"/>
        </w:rPr>
        <w:t>竞价专场交易细则</w:t>
      </w:r>
    </w:p>
    <w:p w14:paraId="54392A40">
      <w:pPr>
        <w:jc w:val="center"/>
        <w:outlineLvl w:val="0"/>
        <w:rPr>
          <w:rFonts w:ascii="宋体" w:hAnsi="宋体" w:cs="宋体"/>
          <w:b/>
          <w:sz w:val="36"/>
          <w:szCs w:val="36"/>
        </w:rPr>
      </w:pPr>
      <w:r>
        <w:rPr>
          <w:rFonts w:hint="eastAsia" w:ascii="宋体" w:hAnsi="宋体" w:cs="宋体"/>
          <w:b/>
          <w:sz w:val="36"/>
          <w:szCs w:val="36"/>
        </w:rPr>
        <w:t>(</w:t>
      </w:r>
      <w:permStart w:id="2" w:edGrp="everyone"/>
      <w:r>
        <w:rPr>
          <w:rFonts w:hint="eastAsia" w:ascii="宋体" w:hAnsi="宋体" w:cs="宋体"/>
          <w:b/>
          <w:sz w:val="36"/>
          <w:szCs w:val="36"/>
        </w:rPr>
        <w:t>202</w:t>
      </w:r>
      <w:r>
        <w:rPr>
          <w:rFonts w:ascii="宋体" w:hAnsi="宋体" w:cs="宋体"/>
          <w:b/>
          <w:sz w:val="36"/>
          <w:szCs w:val="36"/>
        </w:rPr>
        <w:t>5</w:t>
      </w:r>
      <w:r>
        <w:rPr>
          <w:rFonts w:hint="eastAsia" w:ascii="宋体" w:hAnsi="宋体" w:cs="宋体"/>
          <w:b/>
          <w:sz w:val="36"/>
          <w:szCs w:val="36"/>
        </w:rPr>
        <w:t>年</w:t>
      </w:r>
      <w:r>
        <w:rPr>
          <w:rFonts w:hint="eastAsia" w:ascii="宋体" w:hAnsi="宋体" w:cs="宋体"/>
          <w:b/>
          <w:sz w:val="36"/>
          <w:szCs w:val="36"/>
          <w:lang w:val="en-US" w:eastAsia="zh-CN"/>
        </w:rPr>
        <w:t>10</w:t>
      </w:r>
      <w:r>
        <w:rPr>
          <w:rFonts w:hint="eastAsia" w:ascii="宋体" w:hAnsi="宋体" w:cs="宋体"/>
          <w:b/>
          <w:sz w:val="36"/>
          <w:szCs w:val="36"/>
        </w:rPr>
        <w:t>月</w:t>
      </w:r>
      <w:r>
        <w:rPr>
          <w:rFonts w:hint="eastAsia" w:ascii="宋体" w:hAnsi="宋体" w:cs="宋体"/>
          <w:b/>
          <w:sz w:val="36"/>
          <w:szCs w:val="36"/>
          <w:lang w:val="en-US" w:eastAsia="zh-CN"/>
        </w:rPr>
        <w:t>31</w:t>
      </w:r>
      <w:r>
        <w:rPr>
          <w:rFonts w:hint="eastAsia" w:ascii="宋体" w:hAnsi="宋体" w:cs="宋体"/>
          <w:b/>
          <w:sz w:val="36"/>
          <w:szCs w:val="36"/>
        </w:rPr>
        <w:t>日</w:t>
      </w:r>
      <w:permEnd w:id="2"/>
      <w:bookmarkStart w:id="4" w:name="_GoBack"/>
      <w:bookmarkEnd w:id="4"/>
      <w:r>
        <w:rPr>
          <w:rFonts w:hint="eastAsia" w:ascii="宋体" w:hAnsi="宋体" w:cs="宋体"/>
          <w:b/>
          <w:sz w:val="36"/>
          <w:szCs w:val="36"/>
        </w:rPr>
        <w:t>试行)</w:t>
      </w:r>
    </w:p>
    <w:p w14:paraId="3016C9A5">
      <w:pPr>
        <w:rPr>
          <w:rFonts w:ascii="仿宋_GB2312" w:eastAsia="仿宋_GB2312"/>
        </w:rPr>
      </w:pPr>
    </w:p>
    <w:p w14:paraId="75428F90">
      <w:pPr>
        <w:rPr>
          <w:rFonts w:ascii="仿宋_GB2312" w:eastAsia="仿宋_GB2312"/>
        </w:rPr>
      </w:pPr>
    </w:p>
    <w:p w14:paraId="158A723D">
      <w:pPr>
        <w:jc w:val="center"/>
        <w:rPr>
          <w:rFonts w:ascii="黑体" w:hAnsi="黑体" w:eastAsia="黑体"/>
          <w:sz w:val="32"/>
          <w:szCs w:val="32"/>
        </w:rPr>
      </w:pPr>
      <w:r>
        <w:rPr>
          <w:rFonts w:hint="eastAsia" w:ascii="黑体" w:hAnsi="黑体" w:eastAsia="黑体"/>
          <w:sz w:val="32"/>
          <w:szCs w:val="32"/>
        </w:rPr>
        <w:t>第一章 总则</w:t>
      </w:r>
    </w:p>
    <w:p w14:paraId="7B4D496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第一条 </w:t>
      </w:r>
      <w:r>
        <w:rPr>
          <w:rFonts w:hint="eastAsia" w:ascii="仿宋_GB2312" w:eastAsia="仿宋_GB2312"/>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5F06CE6F">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第二条 </w:t>
      </w:r>
      <w:r>
        <w:rPr>
          <w:rFonts w:hint="eastAsia" w:ascii="仿宋_GB2312" w:eastAsia="仿宋_GB2312"/>
          <w:sz w:val="30"/>
          <w:szCs w:val="30"/>
        </w:rPr>
        <w:t>中储粮网遵循“诚信、公正、法治”的原则，通过“互联网+物流+金融”方式开展电子交易，构建粮油行业先进、高效、经济、安全的电子交易网站。</w:t>
      </w:r>
    </w:p>
    <w:p w14:paraId="232A71A3">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第三条 </w:t>
      </w:r>
      <w:r>
        <w:rPr>
          <w:rFonts w:hint="eastAsia" w:ascii="仿宋_GB2312" w:eastAsia="仿宋_GB2312"/>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2E56309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第四条 </w:t>
      </w:r>
      <w:r>
        <w:rPr>
          <w:rFonts w:hint="eastAsia" w:ascii="仿宋_GB2312" w:eastAsia="仿宋_GB2312"/>
          <w:sz w:val="30"/>
          <w:szCs w:val="30"/>
        </w:rPr>
        <w:t>交易模式：此批购销双向竞价交易（即购销价差竞价，单向采购/销售价格固定，另外一向销售/采购价格通过竞价方式确定）受中储粮</w:t>
      </w:r>
      <w:permStart w:id="3" w:edGrp="everyone"/>
      <w:r>
        <w:rPr>
          <w:rFonts w:hint="eastAsia" w:ascii="仿宋_GB2312" w:eastAsia="仿宋_GB2312"/>
          <w:sz w:val="30"/>
          <w:szCs w:val="30"/>
        </w:rPr>
        <w:t>油脂</w:t>
      </w:r>
      <w:permEnd w:id="3"/>
      <w:r>
        <w:rPr>
          <w:rFonts w:hint="eastAsia" w:ascii="仿宋_GB2312" w:eastAsia="仿宋_GB2312"/>
          <w:sz w:val="30"/>
          <w:szCs w:val="30"/>
        </w:rPr>
        <w:t>公司委托，采取网上竞价交易。</w:t>
      </w:r>
    </w:p>
    <w:p w14:paraId="3B93CBE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第五条</w:t>
      </w:r>
      <w:r>
        <w:rPr>
          <w:rFonts w:hint="eastAsia" w:ascii="仿宋_GB2312" w:eastAsia="仿宋_GB2312"/>
          <w:sz w:val="30"/>
          <w:szCs w:val="30"/>
        </w:rPr>
        <w:t xml:space="preserve"> 本细则</w:t>
      </w:r>
      <w:r>
        <w:rPr>
          <w:rFonts w:hint="eastAsia" w:ascii="仿宋_GB2312" w:hAnsi="宋体" w:eastAsia="仿宋_GB2312" w:cs="宋体"/>
          <w:sz w:val="30"/>
          <w:szCs w:val="30"/>
        </w:rPr>
        <w:t>涉及的</w:t>
      </w:r>
      <w:r>
        <w:rPr>
          <w:rFonts w:hint="eastAsia" w:ascii="仿宋_GB2312" w:eastAsia="仿宋_GB2312"/>
          <w:sz w:val="30"/>
          <w:szCs w:val="30"/>
        </w:rPr>
        <w:t>交易信息和标的物，仅限于委托中储粮网购销双向竞价交易标的。</w:t>
      </w:r>
    </w:p>
    <w:p w14:paraId="30033B95">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第六条</w:t>
      </w:r>
      <w:r>
        <w:rPr>
          <w:rFonts w:hint="eastAsia" w:ascii="仿宋_GB2312" w:eastAsia="仿宋_GB2312"/>
          <w:sz w:val="30"/>
          <w:szCs w:val="30"/>
        </w:rPr>
        <w:t xml:space="preserve"> 中储粮网会员之间非在中储粮网交易或服务中产生的及/或与成交标的物无关的其它任何协议,均与中储粮网无关。</w:t>
      </w:r>
    </w:p>
    <w:p w14:paraId="28703C49">
      <w:pPr>
        <w:tabs>
          <w:tab w:val="left" w:pos="-180"/>
          <w:tab w:val="left" w:pos="2012"/>
        </w:tabs>
        <w:ind w:firstLine="602" w:firstLineChars="200"/>
        <w:rPr>
          <w:rFonts w:ascii="仿宋_GB2312" w:hAnsi="仿宋_GB2312" w:eastAsia="仿宋_GB2312" w:cs="仿宋_GB2312"/>
          <w:sz w:val="30"/>
          <w:szCs w:val="30"/>
        </w:rPr>
      </w:pPr>
      <w:r>
        <w:rPr>
          <w:rFonts w:hint="eastAsia" w:ascii="仿宋_GB2312" w:eastAsia="仿宋_GB2312"/>
          <w:b/>
          <w:sz w:val="30"/>
          <w:szCs w:val="30"/>
        </w:rPr>
        <w:t xml:space="preserve">第七条 </w:t>
      </w:r>
    </w:p>
    <w:p w14:paraId="7C91C33E">
      <w:pPr>
        <w:tabs>
          <w:tab w:val="left" w:pos="-180"/>
          <w:tab w:val="left" w:pos="2012"/>
        </w:tabs>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中储粮</w:t>
      </w:r>
      <w:r>
        <w:rPr>
          <w:rFonts w:hint="eastAsia" w:ascii="仿宋_GB2312" w:eastAsia="仿宋_GB2312"/>
          <w:sz w:val="30"/>
          <w:szCs w:val="30"/>
        </w:rPr>
        <w:t>（雄安）粮油交易中心</w:t>
      </w:r>
      <w:r>
        <w:rPr>
          <w:rFonts w:hint="eastAsia" w:ascii="仿宋_GB2312" w:hAnsi="仿宋_GB2312" w:eastAsia="仿宋_GB2312" w:cs="仿宋_GB2312"/>
          <w:sz w:val="30"/>
          <w:szCs w:val="30"/>
        </w:rPr>
        <w:t>有限公司具体负责中储粮网的建设和日常运营。</w:t>
      </w:r>
    </w:p>
    <w:p w14:paraId="07119FF8">
      <w:pPr>
        <w:tabs>
          <w:tab w:val="left" w:pos="-180"/>
          <w:tab w:val="left" w:pos="2012"/>
        </w:tabs>
        <w:ind w:firstLine="600" w:firstLineChars="200"/>
        <w:rPr>
          <w:rFonts w:ascii="仿宋_GB2312" w:eastAsia="仿宋_GB2312"/>
          <w:sz w:val="30"/>
          <w:szCs w:val="30"/>
        </w:rPr>
      </w:pPr>
    </w:p>
    <w:p w14:paraId="4A32A298">
      <w:pPr>
        <w:tabs>
          <w:tab w:val="left" w:pos="-180"/>
        </w:tabs>
        <w:ind w:firstLine="600" w:firstLineChars="200"/>
        <w:rPr>
          <w:rFonts w:ascii="黑体" w:hAnsi="黑体" w:eastAsia="黑体"/>
          <w:sz w:val="30"/>
          <w:szCs w:val="30"/>
        </w:rPr>
      </w:pPr>
    </w:p>
    <w:p w14:paraId="13946F39">
      <w:pPr>
        <w:tabs>
          <w:tab w:val="left" w:pos="-180"/>
        </w:tabs>
        <w:jc w:val="center"/>
        <w:rPr>
          <w:rFonts w:ascii="黑体" w:hAnsi="黑体" w:eastAsia="黑体"/>
          <w:sz w:val="32"/>
          <w:szCs w:val="32"/>
        </w:rPr>
      </w:pPr>
      <w:r>
        <w:rPr>
          <w:rFonts w:hint="eastAsia" w:ascii="黑体" w:hAnsi="黑体" w:eastAsia="黑体"/>
          <w:sz w:val="32"/>
          <w:szCs w:val="32"/>
        </w:rPr>
        <w:t>第二章 中储粮网会员管理</w:t>
      </w:r>
    </w:p>
    <w:p w14:paraId="407B948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第八条 </w:t>
      </w:r>
      <w:r>
        <w:rPr>
          <w:rFonts w:hint="eastAsia" w:ascii="仿宋_GB2312" w:eastAsia="仿宋_GB2312"/>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5FFEE3E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第九条 </w:t>
      </w:r>
      <w:r>
        <w:rPr>
          <w:rFonts w:hint="eastAsia" w:ascii="仿宋_GB2312" w:eastAsia="仿宋_GB2312"/>
          <w:sz w:val="30"/>
          <w:szCs w:val="30"/>
        </w:rPr>
        <w:t>申请注册中储粮网会员的流程。</w:t>
      </w:r>
    </w:p>
    <w:p w14:paraId="507ADADB">
      <w:pPr>
        <w:tabs>
          <w:tab w:val="left" w:pos="-180"/>
          <w:tab w:val="left" w:pos="1303"/>
        </w:tabs>
        <w:ind w:firstLine="600" w:firstLineChars="200"/>
        <w:jc w:val="left"/>
        <w:rPr>
          <w:rFonts w:ascii="仿宋_GB2312" w:eastAsia="仿宋_GB2312"/>
          <w:sz w:val="30"/>
          <w:szCs w:val="30"/>
        </w:rPr>
      </w:pPr>
      <w:r>
        <w:rPr>
          <w:rFonts w:hint="eastAsia" w:ascii="仿宋_GB2312" w:eastAsia="仿宋_GB2312"/>
          <w:sz w:val="30"/>
          <w:szCs w:val="30"/>
        </w:rPr>
        <w:t xml:space="preserve">申请注册中储粮网会员的企业，需向电商交易中心提交下列资料： </w:t>
      </w:r>
    </w:p>
    <w:p w14:paraId="142AE2A5">
      <w:pPr>
        <w:ind w:firstLine="600" w:firstLineChars="200"/>
        <w:rPr>
          <w:rFonts w:ascii="仿宋_GB2312" w:eastAsia="仿宋_GB2312" w:cs="仿宋_GB2312"/>
          <w:sz w:val="30"/>
          <w:szCs w:val="30"/>
        </w:rPr>
      </w:pPr>
      <w:r>
        <w:rPr>
          <w:rFonts w:hint="eastAsia" w:ascii="仿宋_GB2312" w:eastAsia="仿宋_GB2312"/>
          <w:sz w:val="30"/>
          <w:szCs w:val="30"/>
        </w:rPr>
        <w:t>（一）在中储粮网站登录界面点击“注册”，</w:t>
      </w:r>
      <w:r>
        <w:rPr>
          <w:rFonts w:hint="eastAsia" w:ascii="仿宋_GB2312" w:eastAsia="仿宋_GB2312" w:cs="仿宋_GB2312"/>
          <w:sz w:val="30"/>
          <w:szCs w:val="30"/>
        </w:rPr>
        <w:t>必须仔细阅读《中储粮网电子商务平台会员入市协议》、《</w:t>
      </w:r>
      <w:r>
        <w:rPr>
          <w:rFonts w:ascii="仿宋_GB2312" w:eastAsia="仿宋_GB2312" w:cs="仿宋_GB2312"/>
          <w:sz w:val="30"/>
          <w:szCs w:val="30"/>
        </w:rPr>
        <w:t>中储粮网线上交易参与方须知</w:t>
      </w:r>
      <w:r>
        <w:rPr>
          <w:rFonts w:hint="eastAsia" w:ascii="仿宋_GB2312" w:eastAsia="仿宋_GB2312" w:cs="仿宋_GB2312"/>
          <w:sz w:val="30"/>
          <w:szCs w:val="30"/>
        </w:rPr>
        <w:t>确认</w:t>
      </w:r>
      <w:r>
        <w:rPr>
          <w:rFonts w:ascii="仿宋_GB2312" w:eastAsia="仿宋_GB2312" w:cs="仿宋_GB2312"/>
          <w:sz w:val="30"/>
          <w:szCs w:val="30"/>
        </w:rPr>
        <w:t>书</w:t>
      </w:r>
      <w:r>
        <w:rPr>
          <w:rFonts w:hint="eastAsia" w:ascii="仿宋_GB2312" w:eastAsia="仿宋_GB2312" w:cs="仿宋_GB2312"/>
          <w:sz w:val="30"/>
          <w:szCs w:val="30"/>
        </w:rPr>
        <w:t>》，同意并接受后，方能进行正式注册，并按照注册流程，在线填写会员信息；</w:t>
      </w:r>
    </w:p>
    <w:p w14:paraId="4C459AAC">
      <w:pPr>
        <w:ind w:firstLine="600" w:firstLineChars="200"/>
        <w:rPr>
          <w:rFonts w:ascii="仿宋_GB2312" w:eastAsia="仿宋_GB2312"/>
          <w:sz w:val="30"/>
          <w:szCs w:val="30"/>
        </w:rPr>
      </w:pPr>
      <w:r>
        <w:rPr>
          <w:rFonts w:hint="eastAsia" w:ascii="仿宋_GB2312" w:eastAsia="仿宋_GB2312" w:cs="仿宋_GB2312"/>
          <w:sz w:val="30"/>
          <w:szCs w:val="30"/>
        </w:rPr>
        <w:t>（二）在线据实填写企业基本信息提交后，可下载、打印《中储粮网会员注册申请表》、《承诺函》、《</w:t>
      </w:r>
      <w:r>
        <w:rPr>
          <w:rFonts w:ascii="仿宋_GB2312" w:eastAsia="仿宋_GB2312" w:cs="仿宋_GB2312"/>
          <w:sz w:val="30"/>
          <w:szCs w:val="30"/>
        </w:rPr>
        <w:t>中储粮网线上交易参与方须知</w:t>
      </w:r>
      <w:r>
        <w:rPr>
          <w:rFonts w:hint="eastAsia" w:ascii="仿宋_GB2312" w:eastAsia="仿宋_GB2312" w:cs="仿宋_GB2312"/>
          <w:sz w:val="30"/>
          <w:szCs w:val="30"/>
        </w:rPr>
        <w:t>确认</w:t>
      </w:r>
      <w:r>
        <w:rPr>
          <w:rFonts w:ascii="仿宋_GB2312" w:eastAsia="仿宋_GB2312" w:cs="仿宋_GB2312"/>
          <w:sz w:val="30"/>
          <w:szCs w:val="30"/>
        </w:rPr>
        <w:t>书</w:t>
      </w:r>
      <w:r>
        <w:rPr>
          <w:rFonts w:hint="eastAsia" w:ascii="仿宋_GB2312" w:eastAsia="仿宋_GB2312" w:cs="仿宋_GB2312"/>
          <w:sz w:val="30"/>
          <w:szCs w:val="30"/>
        </w:rPr>
        <w:t>》和《中储粮网电子签章使用确认书》，上述资料加盖企业公章并附法定代表人或负责人签字后，在线提交；</w:t>
      </w:r>
      <w:r>
        <w:rPr>
          <w:rFonts w:hint="eastAsia" w:ascii="仿宋_GB2312" w:eastAsia="仿宋_GB2312"/>
          <w:sz w:val="30"/>
          <w:szCs w:val="30"/>
        </w:rPr>
        <w:t>（三）提交工商行政管理部门核发的《营业执照》副本复印件（加盖企业公章）；</w:t>
      </w:r>
    </w:p>
    <w:p w14:paraId="254BA44F">
      <w:pPr>
        <w:ind w:firstLine="600" w:firstLineChars="200"/>
        <w:rPr>
          <w:rFonts w:ascii="仿宋_GB2312" w:eastAsia="仿宋_GB2312"/>
          <w:sz w:val="30"/>
          <w:szCs w:val="30"/>
        </w:rPr>
      </w:pPr>
      <w:r>
        <w:rPr>
          <w:rFonts w:hint="eastAsia" w:ascii="仿宋_GB2312" w:eastAsia="仿宋_GB2312"/>
          <w:sz w:val="30"/>
          <w:szCs w:val="30"/>
        </w:rPr>
        <w:t>（四）提交法定代表人或负责人身份证复印件（加盖企业公章）。</w:t>
      </w:r>
    </w:p>
    <w:p w14:paraId="61EB2CC9">
      <w:pPr>
        <w:ind w:firstLine="600" w:firstLineChars="200"/>
        <w:rPr>
          <w:rFonts w:ascii="仿宋_GB2312" w:eastAsia="仿宋_GB2312"/>
          <w:sz w:val="30"/>
          <w:szCs w:val="30"/>
        </w:rPr>
      </w:pPr>
      <w:r>
        <w:rPr>
          <w:rFonts w:hint="eastAsia" w:ascii="仿宋_GB2312" w:eastAsia="仿宋_GB2312"/>
          <w:sz w:val="30"/>
          <w:szCs w:val="30"/>
        </w:rPr>
        <w:t>（五）提交交易操作员、财务操作员和电子签章操作员身份证复印件（加盖企业公章）。电商交易中心根据申请注册会员提供的以上资料进行审核，经核实无误后将会员代码、交易密码等相关交易凭证发放至申请注册企业，完成会员注册。</w:t>
      </w:r>
    </w:p>
    <w:p w14:paraId="1621FCCE">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0EC1FE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第十条 </w:t>
      </w:r>
      <w:r>
        <w:rPr>
          <w:rFonts w:hint="eastAsia" w:ascii="仿宋_GB2312" w:eastAsia="仿宋_GB2312"/>
          <w:sz w:val="30"/>
          <w:szCs w:val="30"/>
        </w:rPr>
        <w:t>会员代码、交易密码、口令牌及手机验证码是会员参加交易、结算和签章的登录凭证，属会员的核心机密，须妥善保管，如丢失或泄露造成的后果由会员自负。</w:t>
      </w:r>
    </w:p>
    <w:p w14:paraId="6D90120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第十一条 </w:t>
      </w:r>
      <w:r>
        <w:rPr>
          <w:rFonts w:hint="eastAsia" w:ascii="仿宋_GB2312" w:eastAsia="仿宋_GB2312"/>
          <w:sz w:val="30"/>
          <w:szCs w:val="30"/>
        </w:rPr>
        <w:t>会员权利：</w:t>
      </w:r>
    </w:p>
    <w:p w14:paraId="4B101964">
      <w:pPr>
        <w:ind w:firstLine="600" w:firstLineChars="200"/>
        <w:rPr>
          <w:rFonts w:ascii="仿宋_GB2312" w:eastAsia="仿宋_GB2312"/>
          <w:sz w:val="30"/>
          <w:szCs w:val="30"/>
        </w:rPr>
      </w:pPr>
      <w:r>
        <w:rPr>
          <w:rFonts w:hint="eastAsia" w:ascii="仿宋_GB2312" w:eastAsia="仿宋_GB2312"/>
          <w:sz w:val="30"/>
          <w:szCs w:val="30"/>
        </w:rPr>
        <w:t>（一）使用中储粮网从事交易；</w:t>
      </w:r>
    </w:p>
    <w:p w14:paraId="43AAE792">
      <w:pPr>
        <w:tabs>
          <w:tab w:val="left" w:pos="-180"/>
        </w:tabs>
        <w:ind w:firstLine="600" w:firstLineChars="200"/>
        <w:rPr>
          <w:rFonts w:ascii="仿宋_GB2312" w:eastAsia="仿宋_GB2312"/>
          <w:sz w:val="30"/>
          <w:szCs w:val="30"/>
        </w:rPr>
      </w:pPr>
      <w:r>
        <w:rPr>
          <w:rFonts w:hint="eastAsia" w:ascii="仿宋_GB2312" w:eastAsia="仿宋_GB2312"/>
          <w:sz w:val="30"/>
          <w:szCs w:val="30"/>
        </w:rPr>
        <w:t>（二）使用并享受中储粮网提供的信息、融资、结算、物流等配套服务；</w:t>
      </w:r>
    </w:p>
    <w:p w14:paraId="0E82A881">
      <w:pPr>
        <w:tabs>
          <w:tab w:val="left" w:pos="-180"/>
        </w:tabs>
        <w:ind w:firstLine="600" w:firstLineChars="200"/>
        <w:rPr>
          <w:rFonts w:ascii="仿宋_GB2312" w:eastAsia="仿宋_GB2312"/>
          <w:sz w:val="30"/>
          <w:szCs w:val="30"/>
        </w:rPr>
      </w:pPr>
      <w:r>
        <w:rPr>
          <w:rFonts w:hint="eastAsia" w:ascii="仿宋_GB2312" w:eastAsia="仿宋_GB2312"/>
          <w:sz w:val="30"/>
          <w:szCs w:val="30"/>
        </w:rPr>
        <w:t>（三）对中储粮网的工作提出意见和建议；</w:t>
      </w:r>
    </w:p>
    <w:p w14:paraId="458715E2">
      <w:pPr>
        <w:tabs>
          <w:tab w:val="left" w:pos="-180"/>
        </w:tabs>
        <w:ind w:firstLine="600" w:firstLineChars="200"/>
        <w:rPr>
          <w:rFonts w:ascii="仿宋_GB2312" w:eastAsia="仿宋_GB2312"/>
          <w:sz w:val="30"/>
          <w:szCs w:val="30"/>
        </w:rPr>
      </w:pPr>
      <w:r>
        <w:rPr>
          <w:rFonts w:hint="eastAsia" w:ascii="仿宋_GB2312" w:eastAsia="仿宋_GB2312"/>
          <w:sz w:val="30"/>
          <w:szCs w:val="30"/>
        </w:rPr>
        <w:t>（四）参加中储粮网组织的会员活动；</w:t>
      </w:r>
    </w:p>
    <w:p w14:paraId="6A5F61B4">
      <w:pPr>
        <w:tabs>
          <w:tab w:val="left" w:pos="-180"/>
        </w:tabs>
        <w:ind w:firstLine="600" w:firstLineChars="200"/>
        <w:rPr>
          <w:rFonts w:ascii="仿宋_GB2312" w:eastAsia="仿宋_GB2312"/>
          <w:sz w:val="30"/>
          <w:szCs w:val="30"/>
        </w:rPr>
      </w:pPr>
      <w:r>
        <w:rPr>
          <w:rFonts w:hint="eastAsia" w:ascii="仿宋_GB2312" w:eastAsia="仿宋_GB2312"/>
          <w:sz w:val="30"/>
          <w:szCs w:val="30"/>
        </w:rPr>
        <w:t>（五）优先享有中储粮网推出的增值服务；</w:t>
      </w:r>
    </w:p>
    <w:p w14:paraId="68343817">
      <w:pPr>
        <w:tabs>
          <w:tab w:val="left" w:pos="-180"/>
        </w:tabs>
        <w:ind w:firstLine="600" w:firstLineChars="200"/>
        <w:rPr>
          <w:rFonts w:ascii="仿宋_GB2312" w:eastAsia="仿宋_GB2312"/>
          <w:sz w:val="30"/>
          <w:szCs w:val="30"/>
        </w:rPr>
      </w:pPr>
      <w:r>
        <w:rPr>
          <w:rFonts w:hint="eastAsia" w:ascii="仿宋_GB2312" w:eastAsia="仿宋_GB2312"/>
          <w:sz w:val="30"/>
          <w:szCs w:val="30"/>
        </w:rPr>
        <w:t>（六）其他依法应享有的权利。</w:t>
      </w:r>
    </w:p>
    <w:p w14:paraId="3658B44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第十二条</w:t>
      </w:r>
      <w:r>
        <w:rPr>
          <w:rFonts w:hint="eastAsia" w:ascii="仿宋_GB2312" w:eastAsia="仿宋_GB2312"/>
          <w:sz w:val="30"/>
          <w:szCs w:val="30"/>
        </w:rPr>
        <w:t xml:space="preserve"> 会员义务： </w:t>
      </w:r>
    </w:p>
    <w:p w14:paraId="0409E809">
      <w:pPr>
        <w:tabs>
          <w:tab w:val="left" w:pos="-180"/>
        </w:tabs>
        <w:ind w:firstLine="600" w:firstLineChars="200"/>
        <w:rPr>
          <w:rFonts w:ascii="仿宋_GB2312" w:eastAsia="仿宋_GB2312"/>
          <w:sz w:val="30"/>
          <w:szCs w:val="30"/>
        </w:rPr>
      </w:pPr>
      <w:r>
        <w:rPr>
          <w:rFonts w:hint="eastAsia" w:ascii="仿宋_GB2312" w:eastAsia="仿宋_GB2312"/>
          <w:sz w:val="30"/>
          <w:szCs w:val="30"/>
        </w:rPr>
        <w:t>（一）遵守本细则及中储粮网其他相关规定；</w:t>
      </w:r>
    </w:p>
    <w:p w14:paraId="0B1750A1">
      <w:pPr>
        <w:tabs>
          <w:tab w:val="left" w:pos="-180"/>
        </w:tabs>
        <w:ind w:firstLine="600" w:firstLineChars="200"/>
        <w:rPr>
          <w:rFonts w:ascii="宋体" w:hAnsi="宋体" w:cs="宋体"/>
          <w:sz w:val="30"/>
          <w:szCs w:val="30"/>
        </w:rPr>
      </w:pPr>
      <w:r>
        <w:rPr>
          <w:rFonts w:hint="eastAsia" w:ascii="仿宋_GB2312" w:eastAsia="仿宋_GB2312"/>
          <w:sz w:val="30"/>
          <w:szCs w:val="30"/>
        </w:rPr>
        <w:t>（二）确保在本中储粮网中所发布信息真实、准确、合法、唯一。唯一性指在本中储粮网发布的相关信息不可同时在其他网站发布</w:t>
      </w:r>
      <w:r>
        <w:rPr>
          <w:rFonts w:hint="eastAsia" w:ascii="宋体" w:hAnsi="宋体" w:cs="宋体"/>
          <w:sz w:val="30"/>
          <w:szCs w:val="30"/>
        </w:rPr>
        <w:t>；</w:t>
      </w:r>
    </w:p>
    <w:p w14:paraId="187CDC2D">
      <w:pPr>
        <w:tabs>
          <w:tab w:val="left" w:pos="-180"/>
        </w:tabs>
        <w:ind w:firstLine="600" w:firstLineChars="200"/>
        <w:rPr>
          <w:rFonts w:ascii="仿宋_GB2312" w:eastAsia="仿宋_GB2312"/>
          <w:sz w:val="30"/>
          <w:szCs w:val="30"/>
        </w:rPr>
      </w:pPr>
      <w:r>
        <w:rPr>
          <w:rFonts w:hint="eastAsia" w:ascii="仿宋_GB2312" w:eastAsia="仿宋_GB2312"/>
          <w:sz w:val="30"/>
          <w:szCs w:val="30"/>
        </w:rPr>
        <w:t>（三）在获得会员资格后，及时更改从电商交易中心获取的初始密码并妥善保管，并对其会员代码下发生的所有交易及结果承担全部责任，严格履行在中储粮网上签订的合同及协议；</w:t>
      </w:r>
    </w:p>
    <w:p w14:paraId="091759DB">
      <w:pPr>
        <w:tabs>
          <w:tab w:val="left" w:pos="-180"/>
        </w:tabs>
        <w:ind w:firstLine="600" w:firstLineChars="200"/>
        <w:rPr>
          <w:rFonts w:ascii="仿宋_GB2312" w:eastAsia="仿宋_GB2312"/>
          <w:sz w:val="30"/>
          <w:szCs w:val="30"/>
        </w:rPr>
      </w:pPr>
      <w:r>
        <w:rPr>
          <w:rFonts w:hint="eastAsia" w:ascii="仿宋_GB2312" w:eastAsia="仿宋_GB2312"/>
          <w:sz w:val="30"/>
          <w:szCs w:val="30"/>
        </w:rPr>
        <w:t>（四）确保提供给电商交易中心备案的签名、印鉴等各种会员资料真实、合法、有效。如有变更，会员应及时提交变更申请至电商交易中心进行信息变更；</w:t>
      </w:r>
    </w:p>
    <w:p w14:paraId="5FDEE02D">
      <w:pPr>
        <w:tabs>
          <w:tab w:val="left" w:pos="-180"/>
        </w:tabs>
        <w:ind w:firstLine="600" w:firstLineChars="200"/>
        <w:rPr>
          <w:rFonts w:ascii="仿宋_GB2312" w:eastAsia="仿宋_GB2312"/>
          <w:sz w:val="30"/>
          <w:szCs w:val="30"/>
        </w:rPr>
      </w:pPr>
      <w:r>
        <w:rPr>
          <w:rFonts w:hint="eastAsia" w:ascii="仿宋_GB2312" w:eastAsia="仿宋_GB2312"/>
          <w:sz w:val="30"/>
          <w:szCs w:val="30"/>
        </w:rPr>
        <w:t>（五）遵守中储粮网交易交割流程以及商务协调管理办法；</w:t>
      </w:r>
    </w:p>
    <w:p w14:paraId="044B1257">
      <w:pPr>
        <w:tabs>
          <w:tab w:val="left" w:pos="-180"/>
        </w:tabs>
        <w:ind w:firstLine="600" w:firstLineChars="200"/>
        <w:rPr>
          <w:rFonts w:ascii="仿宋_GB2312" w:eastAsia="仿宋_GB2312"/>
          <w:sz w:val="30"/>
          <w:szCs w:val="30"/>
        </w:rPr>
      </w:pPr>
      <w:r>
        <w:rPr>
          <w:rFonts w:hint="eastAsia" w:ascii="仿宋_GB2312" w:eastAsia="仿宋_GB2312"/>
          <w:sz w:val="30"/>
          <w:szCs w:val="30"/>
        </w:rPr>
        <w:t>（六）须按照中储粮网要求，按时进行年审；</w:t>
      </w:r>
    </w:p>
    <w:p w14:paraId="4F0B4DF9">
      <w:pPr>
        <w:tabs>
          <w:tab w:val="left" w:pos="-180"/>
        </w:tabs>
        <w:ind w:left="600"/>
        <w:rPr>
          <w:rFonts w:ascii="仿宋_GB2312" w:eastAsia="仿宋_GB2312"/>
          <w:b/>
          <w:sz w:val="30"/>
          <w:szCs w:val="30"/>
        </w:rPr>
      </w:pPr>
      <w:r>
        <w:rPr>
          <w:rFonts w:hint="eastAsia" w:ascii="仿宋_GB2312" w:eastAsia="仿宋_GB2312"/>
          <w:sz w:val="30"/>
          <w:szCs w:val="30"/>
        </w:rPr>
        <w:t>（七）其他依法应履行的义务。</w:t>
      </w:r>
    </w:p>
    <w:p w14:paraId="7FBB3666">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14:paraId="4C22EB4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第十三条</w:t>
      </w:r>
      <w:r>
        <w:rPr>
          <w:rFonts w:hint="eastAsia" w:ascii="仿宋_GB2312" w:eastAsia="仿宋_GB2312"/>
          <w:sz w:val="30"/>
          <w:szCs w:val="30"/>
        </w:rPr>
        <w:t xml:space="preserve"> 交易时间。交易时间以交易公告中公布的时间为准。客服时间为工作日9:00-17:00，出金业务仅在客服时间内办理。客服时间如有调整，以中储粮网公告为准。电商交易中心认为必须控制风险或遇不可抗力事件时，有权决定暂停交易或调整交易开闭市时间。会员因其自身原因不能正常参与交易，不影响整体网上交易的进行。</w:t>
      </w:r>
    </w:p>
    <w:p w14:paraId="72A9D9B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第十四条</w:t>
      </w:r>
      <w:r>
        <w:rPr>
          <w:rFonts w:hint="eastAsia" w:ascii="仿宋_GB2312" w:eastAsia="仿宋_GB2312"/>
          <w:sz w:val="30"/>
          <w:szCs w:val="30"/>
        </w:rPr>
        <w:t xml:space="preserve"> 交易制度。</w:t>
      </w:r>
      <w:r>
        <w:rPr>
          <w:rFonts w:hint="eastAsia" w:ascii="仿宋_GB2312" w:eastAsia="仿宋_GB2312"/>
          <w:b/>
          <w:sz w:val="30"/>
          <w:szCs w:val="30"/>
        </w:rPr>
        <w:t>中储粮网实行保证金制，会员应在竞价交易前一个工作日向中储粮网会员资金账户内预交交易保证金和履约保证金，保证金缴纳标准以交易公告为准。</w:t>
      </w:r>
      <w:r>
        <w:rPr>
          <w:rFonts w:hint="eastAsia" w:ascii="仿宋_GB2312" w:eastAsia="仿宋_GB2312"/>
          <w:sz w:val="30"/>
          <w:szCs w:val="30"/>
        </w:rPr>
        <w:t>中储粮网会员必须根据拟交易数量缴纳足额保证金，方可在中储粮网进行竞价。</w:t>
      </w:r>
    </w:p>
    <w:p w14:paraId="79130FA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第十五条</w:t>
      </w:r>
      <w:r>
        <w:rPr>
          <w:rFonts w:hint="eastAsia" w:ascii="仿宋_GB2312" w:eastAsia="仿宋_GB2312"/>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6B4CA4BA">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第十六条</w:t>
      </w:r>
      <w:r>
        <w:rPr>
          <w:rFonts w:hint="eastAsia" w:ascii="仿宋_GB2312" w:eastAsia="仿宋_GB2312"/>
          <w:sz w:val="30"/>
          <w:szCs w:val="30"/>
        </w:rPr>
        <w:t xml:space="preserve"> 会员入金方式。按照</w:t>
      </w:r>
      <w:r>
        <w:rPr>
          <w:rFonts w:hint="eastAsia" w:ascii="仿宋_GB2312" w:eastAsia="仿宋_GB2312" w:cs="仿宋_GB2312"/>
          <w:sz w:val="30"/>
          <w:szCs w:val="30"/>
          <w:lang w:bidi="ar"/>
        </w:rPr>
        <w:t>《中储粮网线上交易参与方须知确认书》，会员在注册成功时，中储粮网委托中国工商银行自动为会员开设专用资金托管账户（详细信息可在会员个人中心查询），</w:t>
      </w:r>
      <w:r>
        <w:rPr>
          <w:rFonts w:hint="eastAsia" w:ascii="仿宋_GB2312" w:eastAsia="仿宋_GB2312"/>
          <w:sz w:val="30"/>
          <w:szCs w:val="30"/>
        </w:rPr>
        <w:t>该账户为中储粮网会员交易专用账户，交易前会员入金采取银行汇划支付的方式，将保证金或货款汇入中储粮网会员资金托管账户（节假日参照银行转账相关规定）。</w:t>
      </w:r>
    </w:p>
    <w:p w14:paraId="765867C8">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账户名称：</w:t>
      </w:r>
      <w:r>
        <w:rPr>
          <w:rFonts w:hint="eastAsia" w:ascii="仿宋_GB2312" w:eastAsia="仿宋_GB2312"/>
          <w:color w:val="FF0000"/>
          <w:sz w:val="30"/>
          <w:szCs w:val="30"/>
        </w:rPr>
        <w:t>中储粮网会员本企业名称</w:t>
      </w:r>
    </w:p>
    <w:p w14:paraId="3892595F">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开户行：中国工商银行德外支行</w:t>
      </w:r>
    </w:p>
    <w:p w14:paraId="617B52C6">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账号：</w:t>
      </w:r>
      <w:r>
        <w:rPr>
          <w:rFonts w:hint="eastAsia" w:ascii="仿宋_GB2312" w:eastAsia="仿宋_GB2312"/>
          <w:color w:val="FF0000"/>
          <w:sz w:val="30"/>
          <w:szCs w:val="30"/>
        </w:rPr>
        <w:t>中储粮网会员本企业托管账号</w:t>
      </w:r>
    </w:p>
    <w:p w14:paraId="532357C9">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银行行号：</w:t>
      </w:r>
      <w:r>
        <w:rPr>
          <w:rFonts w:ascii="仿宋_GB2312" w:eastAsia="仿宋_GB2312"/>
          <w:sz w:val="30"/>
          <w:szCs w:val="30"/>
        </w:rPr>
        <w:t>1021 0000 0136</w:t>
      </w:r>
    </w:p>
    <w:p w14:paraId="0DEB9C67">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银行所属区域：北京市西城区</w:t>
      </w:r>
    </w:p>
    <w:p w14:paraId="22DBE1DA">
      <w:pPr>
        <w:numPr>
          <w:ilvl w:val="255"/>
          <w:numId w:val="0"/>
        </w:numPr>
        <w:tabs>
          <w:tab w:val="left" w:pos="-180"/>
          <w:tab w:val="left" w:pos="1303"/>
        </w:tabs>
        <w:ind w:firstLine="602" w:firstLineChars="200"/>
        <w:jc w:val="left"/>
        <w:rPr>
          <w:rFonts w:ascii="仿宋_GB2312" w:eastAsia="仿宋_GB2312" w:cs="仿宋_GB2312"/>
          <w:sz w:val="30"/>
          <w:szCs w:val="30"/>
        </w:rPr>
      </w:pPr>
      <w:r>
        <w:rPr>
          <w:rFonts w:hint="eastAsia" w:ascii="仿宋_GB2312" w:eastAsia="仿宋_GB2312"/>
          <w:b/>
          <w:sz w:val="30"/>
          <w:szCs w:val="30"/>
        </w:rPr>
        <w:t xml:space="preserve">第十七条 </w:t>
      </w:r>
      <w:r>
        <w:rPr>
          <w:rFonts w:hint="eastAsia" w:ascii="仿宋_GB2312" w:eastAsia="仿宋_GB2312"/>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8743824">
      <w:pPr>
        <w:numPr>
          <w:ilvl w:val="255"/>
          <w:numId w:val="0"/>
        </w:numPr>
        <w:tabs>
          <w:tab w:val="left" w:pos="-180"/>
          <w:tab w:val="left" w:pos="1303"/>
        </w:tabs>
        <w:ind w:firstLine="626" w:firstLineChars="200"/>
        <w:rPr>
          <w:rFonts w:ascii="仿宋_GB2312" w:eastAsia="仿宋_GB2312" w:cs="仿宋_GB2312"/>
          <w:sz w:val="30"/>
          <w:szCs w:val="30"/>
        </w:rPr>
      </w:pPr>
      <w:r>
        <w:rPr>
          <w:rFonts w:hint="eastAsia" w:ascii="仿宋_GB2312" w:hAnsi="宋体" w:eastAsia="仿宋_GB2312"/>
          <w:b/>
          <w:spacing w:val="6"/>
          <w:sz w:val="30"/>
          <w:szCs w:val="30"/>
        </w:rPr>
        <w:t xml:space="preserve">第十八条 </w:t>
      </w:r>
      <w:r>
        <w:rPr>
          <w:rFonts w:hint="eastAsia" w:ascii="仿宋_GB2312" w:eastAsia="仿宋_GB2312" w:cs="仿宋_GB2312"/>
          <w:sz w:val="30"/>
          <w:szCs w:val="30"/>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4345715F">
      <w:pPr>
        <w:tabs>
          <w:tab w:val="left" w:pos="-180"/>
        </w:tabs>
        <w:ind w:firstLine="600" w:firstLineChars="200"/>
        <w:jc w:val="left"/>
        <w:rPr>
          <w:rFonts w:ascii="黑体" w:hAnsi="黑体" w:eastAsia="黑体"/>
          <w:sz w:val="30"/>
          <w:szCs w:val="30"/>
        </w:rPr>
      </w:pPr>
    </w:p>
    <w:p w14:paraId="5A1B3302">
      <w:pPr>
        <w:jc w:val="center"/>
        <w:rPr>
          <w:rFonts w:ascii="黑体" w:hAnsi="黑体" w:eastAsia="黑体"/>
          <w:sz w:val="32"/>
          <w:szCs w:val="32"/>
        </w:rPr>
      </w:pPr>
      <w:r>
        <w:rPr>
          <w:rFonts w:hint="eastAsia" w:ascii="黑体" w:hAnsi="黑体" w:eastAsia="黑体"/>
          <w:sz w:val="32"/>
          <w:szCs w:val="32"/>
        </w:rPr>
        <w:t>第四章 交易秩序</w:t>
      </w:r>
    </w:p>
    <w:p w14:paraId="6080CA56">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第十九条 </w:t>
      </w:r>
      <w:r>
        <w:rPr>
          <w:rFonts w:hint="eastAsia" w:ascii="仿宋_GB2312" w:eastAsia="仿宋_GB2312"/>
          <w:sz w:val="30"/>
          <w:szCs w:val="30"/>
        </w:rPr>
        <w:t>会员不得利用中储粮网发布虚假信息。</w:t>
      </w:r>
    </w:p>
    <w:p w14:paraId="47DF33B0">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第二十条 </w:t>
      </w:r>
      <w:r>
        <w:rPr>
          <w:rFonts w:hint="eastAsia" w:ascii="仿宋_GB2312" w:hAnsi="宋体" w:eastAsia="仿宋_GB2312"/>
          <w:spacing w:val="6"/>
          <w:sz w:val="30"/>
          <w:szCs w:val="30"/>
        </w:rPr>
        <w:t>禁止虚假交易，禁止恶意串通操纵交易价格等损害他人利益的一切行为。</w:t>
      </w:r>
    </w:p>
    <w:p w14:paraId="58CEB6BC">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第二十一条 </w:t>
      </w:r>
      <w:r>
        <w:rPr>
          <w:rFonts w:hint="eastAsia" w:ascii="仿宋_GB2312" w:hAnsi="宋体" w:eastAsia="仿宋_GB2312"/>
          <w:spacing w:val="6"/>
          <w:sz w:val="30"/>
          <w:szCs w:val="30"/>
        </w:rPr>
        <w:t>交易活动必须按</w:t>
      </w:r>
      <w:r>
        <w:rPr>
          <w:rFonts w:hint="eastAsia" w:ascii="仿宋_GB2312" w:eastAsia="仿宋_GB2312"/>
          <w:sz w:val="30"/>
          <w:szCs w:val="30"/>
        </w:rPr>
        <w:t>照中储粮网确</w:t>
      </w:r>
      <w:r>
        <w:rPr>
          <w:rFonts w:hint="eastAsia" w:ascii="仿宋_GB2312" w:hAnsi="宋体" w:eastAsia="仿宋_GB2312"/>
          <w:spacing w:val="6"/>
          <w:sz w:val="30"/>
          <w:szCs w:val="30"/>
        </w:rPr>
        <w:t>定的交易方式、交易规则进行。</w:t>
      </w:r>
    </w:p>
    <w:p w14:paraId="0D45354C">
      <w:pPr>
        <w:ind w:firstLine="600" w:firstLineChars="200"/>
        <w:rPr>
          <w:rFonts w:ascii="仿宋_GB2312" w:eastAsia="仿宋_GB2312"/>
          <w:sz w:val="30"/>
          <w:szCs w:val="30"/>
        </w:rPr>
      </w:pPr>
    </w:p>
    <w:p w14:paraId="331A66C6">
      <w:pPr>
        <w:jc w:val="center"/>
        <w:rPr>
          <w:rFonts w:ascii="黑体" w:hAnsi="黑体" w:eastAsia="黑体"/>
          <w:sz w:val="32"/>
          <w:szCs w:val="32"/>
        </w:rPr>
      </w:pPr>
      <w:r>
        <w:rPr>
          <w:rFonts w:hint="eastAsia" w:ascii="黑体" w:hAnsi="黑体" w:eastAsia="黑体"/>
          <w:sz w:val="32"/>
          <w:szCs w:val="32"/>
        </w:rPr>
        <w:t>第五章 竞价交易</w:t>
      </w:r>
    </w:p>
    <w:p w14:paraId="16E57C52">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第二十二条 </w:t>
      </w:r>
      <w:r>
        <w:rPr>
          <w:rFonts w:hint="eastAsia" w:ascii="仿宋_GB2312" w:eastAsia="仿宋_GB2312"/>
          <w:sz w:val="30"/>
          <w:szCs w:val="30"/>
        </w:rPr>
        <w:t>中储粮网受中储粮</w:t>
      </w:r>
      <w:permStart w:id="4" w:edGrp="everyone"/>
      <w:r>
        <w:rPr>
          <w:rFonts w:hint="eastAsia" w:ascii="仿宋_GB2312" w:eastAsia="仿宋_GB2312"/>
          <w:sz w:val="30"/>
          <w:szCs w:val="30"/>
        </w:rPr>
        <w:t>油脂</w:t>
      </w:r>
      <w:permEnd w:id="4"/>
      <w:r>
        <w:rPr>
          <w:rFonts w:hint="eastAsia" w:ascii="仿宋_GB2312" w:eastAsia="仿宋_GB2312"/>
          <w:sz w:val="30"/>
          <w:szCs w:val="30"/>
        </w:rPr>
        <w:t>公司委托，组建竞价专场，交易信息以专场标的形式展现；竞价参与方在专场交易的规定时间内可对选定的标的，以向上的出价方式进行公开竞价。交易系统按照“价格优先、时间优先”的原则成交。</w:t>
      </w:r>
    </w:p>
    <w:p w14:paraId="7CDF06B7">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第二十三条</w:t>
      </w:r>
      <w:r>
        <w:rPr>
          <w:rFonts w:hint="eastAsia" w:ascii="仿宋_GB2312" w:eastAsia="仿宋_GB2312"/>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13118BC6">
      <w:pPr>
        <w:ind w:firstLine="602" w:firstLineChars="200"/>
        <w:rPr>
          <w:rFonts w:ascii="仿宋_GB2312" w:eastAsia="仿宋_GB2312"/>
          <w:sz w:val="30"/>
          <w:szCs w:val="30"/>
        </w:rPr>
      </w:pPr>
      <w:r>
        <w:rPr>
          <w:rFonts w:hint="eastAsia" w:ascii="仿宋_GB2312" w:eastAsia="仿宋_GB2312"/>
          <w:b/>
          <w:sz w:val="30"/>
          <w:szCs w:val="30"/>
        </w:rPr>
        <w:t xml:space="preserve">第二十四条 </w:t>
      </w:r>
      <w:r>
        <w:rPr>
          <w:rFonts w:hint="eastAsia" w:ascii="仿宋_GB2312" w:eastAsia="仿宋_GB2312"/>
          <w:b/>
          <w:bCs/>
          <w:sz w:val="30"/>
          <w:szCs w:val="30"/>
        </w:rPr>
        <w:t>本场购销双向竞价交易采购价格类型为</w:t>
      </w:r>
      <w:permStart w:id="5" w:edGrp="everyone"/>
      <w:r>
        <w:rPr>
          <w:rFonts w:hint="eastAsia" w:ascii="仿宋_GB2312" w:eastAsia="仿宋_GB2312"/>
          <w:b/>
          <w:bCs/>
          <w:sz w:val="30"/>
          <w:szCs w:val="30"/>
        </w:rPr>
        <w:t>散油到库价</w:t>
      </w:r>
      <w:permEnd w:id="5"/>
      <w:r>
        <w:rPr>
          <w:rFonts w:hint="eastAsia" w:ascii="仿宋_GB2312" w:eastAsia="仿宋_GB2312"/>
          <w:b/>
          <w:bCs/>
          <w:sz w:val="30"/>
          <w:szCs w:val="30"/>
        </w:rPr>
        <w:t>，销售价格类型为</w:t>
      </w:r>
      <w:permStart w:id="6" w:edGrp="everyone"/>
      <w:r>
        <w:rPr>
          <w:rFonts w:hint="eastAsia" w:ascii="仿宋_GB2312" w:eastAsia="仿宋_GB2312"/>
          <w:b/>
          <w:bCs/>
          <w:sz w:val="30"/>
          <w:szCs w:val="30"/>
        </w:rPr>
        <w:t>卖方散油车（船）板价</w:t>
      </w:r>
      <w:permEnd w:id="6"/>
      <w:r>
        <w:rPr>
          <w:rFonts w:hint="eastAsia" w:ascii="仿宋_GB2312" w:eastAsia="仿宋_GB2312"/>
          <w:b/>
          <w:bCs/>
          <w:sz w:val="30"/>
          <w:szCs w:val="30"/>
        </w:rPr>
        <w:t>。</w:t>
      </w:r>
    </w:p>
    <w:p w14:paraId="232BF6F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第二十五条 </w:t>
      </w:r>
      <w:permStart w:id="7" w:edGrp="everyone"/>
      <w:r>
        <w:rPr>
          <w:rFonts w:hint="eastAsia" w:ascii="仿宋_GB2312" w:eastAsia="仿宋_GB2312"/>
          <w:sz w:val="30"/>
          <w:szCs w:val="30"/>
        </w:rPr>
        <w:t>本场竞价交易所有标的成交价格均为散油成交价格，不含包装物。</w:t>
      </w:r>
      <w:permEnd w:id="7"/>
    </w:p>
    <w:p w14:paraId="68AEE308">
      <w:pPr>
        <w:tabs>
          <w:tab w:val="left" w:pos="-180"/>
          <w:tab w:val="left" w:pos="2012"/>
        </w:tabs>
        <w:ind w:firstLine="626" w:firstLineChars="200"/>
        <w:rPr>
          <w:rFonts w:ascii="仿宋_GB2312" w:eastAsia="仿宋_GB2312"/>
          <w:sz w:val="30"/>
          <w:szCs w:val="30"/>
        </w:rPr>
      </w:pPr>
      <w:r>
        <w:rPr>
          <w:rFonts w:hint="eastAsia" w:ascii="仿宋_GB2312" w:hAnsi="宋体" w:eastAsia="仿宋_GB2312"/>
          <w:b/>
          <w:spacing w:val="6"/>
          <w:sz w:val="30"/>
          <w:szCs w:val="30"/>
        </w:rPr>
        <w:t>第二十六条</w:t>
      </w:r>
      <w:r>
        <w:rPr>
          <w:rFonts w:ascii="仿宋_GB2312" w:hAnsi="宋体" w:eastAsia="仿宋_GB2312"/>
          <w:spacing w:val="6"/>
          <w:sz w:val="30"/>
          <w:szCs w:val="30"/>
        </w:rPr>
        <w:t xml:space="preserve"> 竞价交易按委托标的序号顺序，依次按交易节进行。</w:t>
      </w:r>
      <w:permStart w:id="8" w:edGrp="everyone"/>
      <w:r>
        <w:rPr>
          <w:rFonts w:hint="eastAsia" w:ascii="仿宋_GB2312" w:hAnsi="宋体" w:eastAsia="仿宋_GB2312"/>
          <w:spacing w:val="6"/>
          <w:sz w:val="30"/>
          <w:szCs w:val="30"/>
        </w:rPr>
        <w:t>此次专场1个标的为</w:t>
      </w:r>
      <w:r>
        <w:rPr>
          <w:rFonts w:ascii="仿宋_GB2312" w:hAnsi="宋体" w:eastAsia="仿宋_GB2312"/>
          <w:spacing w:val="6"/>
          <w:sz w:val="30"/>
          <w:szCs w:val="30"/>
        </w:rPr>
        <w:t>1个交易节，时间为60秒</w:t>
      </w:r>
      <w:permEnd w:id="8"/>
      <w:r>
        <w:rPr>
          <w:rFonts w:hint="eastAsia" w:ascii="仿宋_GB2312" w:eastAsia="仿宋_GB2312"/>
          <w:sz w:val="30"/>
          <w:szCs w:val="30"/>
        </w:rPr>
        <w:t>。</w:t>
      </w:r>
    </w:p>
    <w:p w14:paraId="1848A0AC">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第二十七条</w:t>
      </w:r>
      <w:r>
        <w:rPr>
          <w:rFonts w:ascii="仿宋_GB2312" w:hAnsi="宋体" w:eastAsia="仿宋_GB2312" w:cs="仿宋_GB2312"/>
          <w:spacing w:val="6"/>
          <w:kern w:val="0"/>
          <w:sz w:val="30"/>
          <w:szCs w:val="30"/>
        </w:rPr>
        <w:t xml:space="preserve"> </w:t>
      </w:r>
      <w:r>
        <w:rPr>
          <w:rFonts w:hint="eastAsia" w:ascii="仿宋_GB2312" w:hAnsi="宋体" w:eastAsia="仿宋_GB2312" w:cs="仿宋_GB2312"/>
          <w:spacing w:val="6"/>
          <w:kern w:val="0"/>
          <w:sz w:val="30"/>
          <w:szCs w:val="30"/>
        </w:rPr>
        <w:t>竞价参与方</w:t>
      </w:r>
      <w:r>
        <w:rPr>
          <w:rFonts w:ascii="仿宋_GB2312" w:hAnsi="宋体" w:eastAsia="仿宋_GB2312" w:cs="仿宋_GB2312"/>
          <w:spacing w:val="6"/>
          <w:kern w:val="0"/>
          <w:sz w:val="30"/>
          <w:szCs w:val="30"/>
        </w:rPr>
        <w:t>进入中储粮网竞价专场，应点击计算机报价，竞价数量已超过预交保证金所能购买数量的不可再参加竞价。</w:t>
      </w:r>
    </w:p>
    <w:p w14:paraId="35489624">
      <w:pPr>
        <w:ind w:firstLine="602" w:firstLineChars="200"/>
        <w:rPr>
          <w:rFonts w:ascii="仿宋_GB2312" w:eastAsia="仿宋_GB2312"/>
          <w:sz w:val="30"/>
          <w:szCs w:val="30"/>
        </w:rPr>
      </w:pPr>
      <w:r>
        <w:rPr>
          <w:rFonts w:hint="eastAsia" w:ascii="仿宋_GB2312" w:eastAsia="仿宋_GB2312"/>
          <w:b/>
          <w:sz w:val="30"/>
          <w:szCs w:val="30"/>
        </w:rPr>
        <w:t>第二十八条</w:t>
      </w:r>
      <w:r>
        <w:rPr>
          <w:rFonts w:hint="eastAsia" w:ascii="仿宋_GB2312" w:eastAsia="仿宋_GB2312"/>
          <w:sz w:val="30"/>
          <w:szCs w:val="30"/>
        </w:rPr>
        <w:t xml:space="preserve"> 保证金冻结。应价成交后同时生成采购和销售两笔合同，两笔成交合同对应的保证金全部自动冻结。</w:t>
      </w:r>
    </w:p>
    <w:p w14:paraId="3CB4AAA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第二十九条</w:t>
      </w:r>
      <w:r>
        <w:rPr>
          <w:rFonts w:hint="eastAsia" w:ascii="仿宋_GB2312" w:eastAsia="仿宋_GB2312"/>
          <w:sz w:val="30"/>
          <w:szCs w:val="30"/>
        </w:rPr>
        <w:t xml:space="preserve"> 应价。</w:t>
      </w:r>
      <w:r>
        <w:rPr>
          <w:rFonts w:hint="eastAsia" w:ascii="仿宋_GB2312" w:hAnsi="宋体" w:eastAsia="仿宋_GB2312" w:cs="仿宋_GB2312"/>
          <w:spacing w:val="6"/>
          <w:kern w:val="0"/>
          <w:sz w:val="30"/>
          <w:szCs w:val="30"/>
        </w:rPr>
        <w:t>竞价参与方</w:t>
      </w:r>
      <w:r>
        <w:rPr>
          <w:rFonts w:hint="eastAsia" w:ascii="仿宋_GB2312" w:hAnsi="宋体" w:eastAsia="仿宋_GB2312"/>
          <w:spacing w:val="6"/>
          <w:sz w:val="30"/>
          <w:szCs w:val="30"/>
        </w:rPr>
        <w:t>利用计算机按交易节逐节进行应价。在竞价专场公告对报价无特殊声明情况下，竞价专场从销售标底价开始报价，按</w:t>
      </w:r>
      <w:permStart w:id="9" w:edGrp="everyone"/>
      <w:r>
        <w:rPr>
          <w:rFonts w:hint="eastAsia" w:ascii="仿宋_GB2312" w:hAnsi="宋体" w:eastAsia="仿宋_GB2312"/>
          <w:b/>
          <w:spacing w:val="6"/>
          <w:sz w:val="30"/>
          <w:szCs w:val="30"/>
        </w:rPr>
        <w:t>每吨10元</w:t>
      </w:r>
      <w:permEnd w:id="9"/>
      <w:r>
        <w:rPr>
          <w:rFonts w:hint="eastAsia" w:ascii="仿宋_GB2312" w:hAnsi="宋体" w:eastAsia="仿宋_GB2312"/>
          <w:spacing w:val="6"/>
          <w:sz w:val="30"/>
          <w:szCs w:val="30"/>
        </w:rPr>
        <w:t>的价位递增报价。特殊情况以竞价交易专场公告为准。</w:t>
      </w:r>
    </w:p>
    <w:p w14:paraId="7A02F498">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第三十条</w:t>
      </w:r>
      <w:r>
        <w:rPr>
          <w:rFonts w:ascii="仿宋_GB2312" w:hAnsi="宋体" w:eastAsia="仿宋_GB2312" w:cs="仿宋_GB2312"/>
          <w:spacing w:val="6"/>
          <w:kern w:val="0"/>
          <w:sz w:val="30"/>
          <w:szCs w:val="30"/>
        </w:rPr>
        <w:t xml:space="preserve"> </w:t>
      </w:r>
      <w:r>
        <w:rPr>
          <w:rFonts w:hint="eastAsia" w:ascii="仿宋_GB2312" w:hAnsi="宋体" w:eastAsia="仿宋_GB2312" w:cs="仿宋_GB2312"/>
          <w:spacing w:val="6"/>
          <w:kern w:val="0"/>
          <w:sz w:val="30"/>
          <w:szCs w:val="30"/>
        </w:rPr>
        <w:t>竞价参与方</w:t>
      </w:r>
      <w:r>
        <w:rPr>
          <w:rFonts w:hint="eastAsia" w:ascii="仿宋_GB2312" w:hAnsi="宋体" w:eastAsia="仿宋_GB2312"/>
          <w:spacing w:val="6"/>
          <w:sz w:val="30"/>
          <w:szCs w:val="30"/>
        </w:rPr>
        <w:t>在新价位应价并被系统确认后，前一价位的应价自动失效。</w:t>
      </w:r>
      <w:r>
        <w:rPr>
          <w:rFonts w:hint="eastAsia" w:ascii="仿宋_GB2312" w:hAnsi="宋体" w:eastAsia="仿宋_GB2312" w:cs="仿宋_GB2312"/>
          <w:spacing w:val="6"/>
          <w:kern w:val="0"/>
          <w:sz w:val="30"/>
          <w:szCs w:val="30"/>
        </w:rPr>
        <w:t>竞价参与方</w:t>
      </w:r>
      <w:r>
        <w:rPr>
          <w:rFonts w:hint="eastAsia" w:ascii="仿宋_GB2312" w:hAnsi="宋体" w:eastAsia="仿宋_GB2312"/>
          <w:spacing w:val="6"/>
          <w:sz w:val="30"/>
          <w:szCs w:val="30"/>
        </w:rPr>
        <w:t>报价后，在规定的时间内如无其它竞价参与方以更高的价格报价，则以该报价为标的的销售成交价，该</w:t>
      </w:r>
      <w:r>
        <w:rPr>
          <w:rFonts w:hint="eastAsia" w:ascii="仿宋_GB2312" w:hAnsi="宋体" w:eastAsia="仿宋_GB2312" w:cs="仿宋_GB2312"/>
          <w:spacing w:val="6"/>
          <w:kern w:val="0"/>
          <w:sz w:val="30"/>
          <w:szCs w:val="30"/>
        </w:rPr>
        <w:t>中标方既</w:t>
      </w:r>
      <w:r>
        <w:rPr>
          <w:rFonts w:hint="eastAsia" w:ascii="仿宋_GB2312" w:hAnsi="宋体" w:eastAsia="仿宋_GB2312"/>
          <w:spacing w:val="6"/>
          <w:sz w:val="30"/>
          <w:szCs w:val="30"/>
        </w:rPr>
        <w:t>为标的销售合同的买受人，同时也是对应该标的采购合同的供货人。</w:t>
      </w:r>
    </w:p>
    <w:p w14:paraId="5E6E7310">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第三十一条</w:t>
      </w:r>
      <w:r>
        <w:rPr>
          <w:rFonts w:hint="eastAsia" w:ascii="仿宋_GB2312" w:eastAsia="仿宋_GB2312"/>
          <w:sz w:val="30"/>
          <w:szCs w:val="30"/>
        </w:rPr>
        <w:t xml:space="preserve"> 竞价交易专场进行期间，交易委托方无法撤销标的，而</w:t>
      </w:r>
      <w:r>
        <w:rPr>
          <w:rFonts w:hint="eastAsia" w:ascii="仿宋_GB2312" w:hAnsi="宋体" w:eastAsia="仿宋_GB2312" w:cs="仿宋_GB2312"/>
          <w:spacing w:val="6"/>
          <w:kern w:val="0"/>
          <w:sz w:val="30"/>
          <w:szCs w:val="30"/>
        </w:rPr>
        <w:t>竞价参与方</w:t>
      </w:r>
      <w:r>
        <w:rPr>
          <w:rFonts w:hint="eastAsia" w:ascii="仿宋_GB2312" w:hAnsi="宋体" w:eastAsia="仿宋_GB2312"/>
          <w:spacing w:val="6"/>
          <w:sz w:val="30"/>
          <w:szCs w:val="30"/>
        </w:rPr>
        <w:t>一经应价，也不得撤回</w:t>
      </w:r>
      <w:r>
        <w:rPr>
          <w:rFonts w:hint="eastAsia" w:ascii="仿宋_GB2312" w:hAnsi="宋体" w:eastAsia="仿宋_GB2312"/>
          <w:spacing w:val="6"/>
          <w:sz w:val="30"/>
          <w:szCs w:val="30"/>
          <w:lang w:val="zh-CN"/>
        </w:rPr>
        <w:t>。专场中的标的</w:t>
      </w:r>
      <w:r>
        <w:rPr>
          <w:rFonts w:hint="eastAsia" w:ascii="仿宋_GB2312" w:hAnsi="宋体" w:eastAsia="仿宋_GB2312"/>
          <w:spacing w:val="6"/>
          <w:sz w:val="30"/>
          <w:szCs w:val="30"/>
        </w:rPr>
        <w:t>在有效竞价时间内无人应价时，系统自动撤销该笔交易，即为流拍。</w:t>
      </w:r>
    </w:p>
    <w:p w14:paraId="4E4112CA">
      <w:pPr>
        <w:tabs>
          <w:tab w:val="left" w:pos="-180"/>
          <w:tab w:val="left" w:pos="2012"/>
        </w:tabs>
        <w:ind w:firstLine="602" w:firstLineChars="200"/>
        <w:rPr>
          <w:rFonts w:ascii="仿宋_GB2312" w:eastAsia="仿宋_GB2312"/>
          <w:sz w:val="30"/>
          <w:szCs w:val="30"/>
        </w:rPr>
      </w:pPr>
      <w:bookmarkStart w:id="0" w:name="_Toc257277860"/>
      <w:bookmarkStart w:id="1" w:name="_Toc257121256"/>
      <w:r>
        <w:rPr>
          <w:rFonts w:hint="eastAsia" w:ascii="仿宋_GB2312" w:eastAsia="仿宋_GB2312"/>
          <w:b/>
          <w:sz w:val="30"/>
          <w:szCs w:val="30"/>
        </w:rPr>
        <w:t>第三十二条</w:t>
      </w:r>
      <w:r>
        <w:rPr>
          <w:rFonts w:hint="eastAsia" w:ascii="仿宋_GB2312" w:eastAsia="仿宋_GB2312"/>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17AB16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第三十三条</w:t>
      </w:r>
      <w:r>
        <w:rPr>
          <w:rFonts w:hint="eastAsia" w:ascii="仿宋_GB2312" w:eastAsia="仿宋_GB2312"/>
          <w:sz w:val="30"/>
          <w:szCs w:val="30"/>
        </w:rPr>
        <w:t xml:space="preserve"> 成交合同自委托、中标双方于中储粮网成交之时起生效。</w:t>
      </w:r>
    </w:p>
    <w:bookmarkEnd w:id="0"/>
    <w:bookmarkEnd w:id="1"/>
    <w:p w14:paraId="4AF41348">
      <w:pPr>
        <w:tabs>
          <w:tab w:val="left" w:pos="0"/>
          <w:tab w:val="left" w:pos="1303"/>
        </w:tabs>
        <w:ind w:firstLine="600" w:firstLineChars="200"/>
        <w:rPr>
          <w:rFonts w:ascii="仿宋_GB2312" w:eastAsia="仿宋_GB2312"/>
          <w:sz w:val="30"/>
          <w:szCs w:val="30"/>
        </w:rPr>
      </w:pPr>
    </w:p>
    <w:p w14:paraId="109495B7">
      <w:pPr>
        <w:tabs>
          <w:tab w:val="left" w:pos="0"/>
          <w:tab w:val="left" w:pos="1303"/>
        </w:tabs>
        <w:ind w:firstLine="755"/>
        <w:jc w:val="center"/>
        <w:rPr>
          <w:rFonts w:ascii="仿宋_GB2312" w:eastAsia="仿宋_GB2312"/>
          <w:sz w:val="30"/>
          <w:szCs w:val="30"/>
        </w:rPr>
      </w:pPr>
      <w:r>
        <w:rPr>
          <w:rFonts w:hint="eastAsia" w:ascii="黑体" w:hAnsi="黑体" w:eastAsia="黑体"/>
          <w:sz w:val="32"/>
          <w:szCs w:val="32"/>
        </w:rPr>
        <w:t>第六章 交割结算</w:t>
      </w:r>
    </w:p>
    <w:p w14:paraId="2F4037D1">
      <w:pPr>
        <w:ind w:firstLine="602" w:firstLineChars="200"/>
        <w:rPr>
          <w:rFonts w:ascii="仿宋_GB2312" w:eastAsia="仿宋_GB2312"/>
          <w:sz w:val="30"/>
          <w:szCs w:val="30"/>
        </w:rPr>
      </w:pPr>
      <w:r>
        <w:rPr>
          <w:rFonts w:hint="eastAsia" w:ascii="仿宋_GB2312" w:eastAsia="仿宋_GB2312"/>
          <w:b/>
          <w:sz w:val="30"/>
          <w:szCs w:val="30"/>
        </w:rPr>
        <w:t>第三十四条</w:t>
      </w:r>
      <w:r>
        <w:rPr>
          <w:rFonts w:hint="eastAsia" w:ascii="仿宋_GB2312" w:eastAsia="仿宋_GB2312"/>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4DAA187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第三十五条</w:t>
      </w:r>
      <w:r>
        <w:rPr>
          <w:rFonts w:hint="eastAsia" w:ascii="仿宋_GB2312" w:eastAsia="仿宋_GB2312"/>
          <w:sz w:val="30"/>
          <w:szCs w:val="30"/>
        </w:rPr>
        <w:t xml:space="preserve"> 交易手续费。</w:t>
      </w:r>
      <w:r>
        <w:rPr>
          <w:rFonts w:hint="eastAsia" w:ascii="仿宋_GB2312" w:eastAsia="仿宋_GB2312"/>
          <w:b/>
          <w:sz w:val="30"/>
          <w:szCs w:val="30"/>
        </w:rPr>
        <w:t>此次专场竞价交易免交易手续费</w:t>
      </w:r>
      <w:r>
        <w:rPr>
          <w:rFonts w:hint="eastAsia" w:ascii="仿宋_GB2312" w:eastAsia="仿宋_GB2312"/>
          <w:sz w:val="30"/>
          <w:szCs w:val="30"/>
        </w:rPr>
        <w:t>，但出现违约行为的按第七章违约相关规定执行。</w:t>
      </w:r>
    </w:p>
    <w:p w14:paraId="1178F794">
      <w:pPr>
        <w:tabs>
          <w:tab w:val="left" w:pos="-180"/>
        </w:tabs>
        <w:ind w:firstLine="602" w:firstLineChars="200"/>
        <w:jc w:val="left"/>
        <w:rPr>
          <w:rFonts w:ascii="仿宋_GB2312" w:eastAsia="仿宋_GB2312"/>
          <w:sz w:val="30"/>
          <w:szCs w:val="30"/>
        </w:rPr>
      </w:pPr>
      <w:r>
        <w:rPr>
          <w:rFonts w:hint="eastAsia" w:ascii="仿宋_GB2312" w:eastAsia="仿宋_GB2312"/>
          <w:b/>
          <w:sz w:val="30"/>
          <w:szCs w:val="30"/>
        </w:rPr>
        <w:t>第三十六条</w:t>
      </w:r>
      <w:r>
        <w:rPr>
          <w:rFonts w:hint="eastAsia" w:ascii="仿宋_GB2312" w:eastAsia="仿宋_GB2312"/>
          <w:sz w:val="30"/>
          <w:szCs w:val="30"/>
        </w:rPr>
        <w:t xml:space="preserve"> 采购合同和销售合同的货款支付方式具体以交易公告为准。中储粮网的货款支付方式有两种，直接支付与验收确认后支付。</w:t>
      </w:r>
    </w:p>
    <w:p w14:paraId="68BEAFA5">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66546B2">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验收确认后支付：货款支付方将货款支付给对方时，货款在对方托管账户中即时冻结，按双方验收确认进度，系统自动将货款一次性或分批次释放到对方账户。</w:t>
      </w:r>
    </w:p>
    <w:p w14:paraId="2656213D">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保证金抵货款：只有当合同交割率≥70%，并且保证金金额≥未付货款时，保证金方可抵货款。</w:t>
      </w:r>
    </w:p>
    <w:p w14:paraId="5145DD5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第三十七条</w:t>
      </w:r>
      <w:r>
        <w:rPr>
          <w:rFonts w:hint="eastAsia" w:ascii="仿宋_GB2312" w:eastAsia="仿宋_GB2312"/>
          <w:sz w:val="30"/>
          <w:szCs w:val="30"/>
        </w:rPr>
        <w:t xml:space="preserve"> 提货和送货证明。中标方提货和送货时必须出具本企业的营业执照复印件及本企业《</w:t>
      </w:r>
      <w:r>
        <w:rPr>
          <w:rFonts w:hint="eastAsia" w:ascii="仿宋_GB2312" w:hAnsi="宋体" w:eastAsia="仿宋_GB2312" w:cs="宋体"/>
          <w:sz w:val="30"/>
          <w:szCs w:val="30"/>
        </w:rPr>
        <w:t>关于</w:t>
      </w:r>
      <w:r>
        <w:rPr>
          <w:rFonts w:hint="eastAsia" w:ascii="仿宋_GB2312" w:eastAsia="仿宋_GB2312"/>
          <w:sz w:val="30"/>
          <w:szCs w:val="30"/>
        </w:rPr>
        <w:t>办理竞价交易提（送）货的委托函》（或介绍信）等证明资料，证明资料上必须加盖本企业公章或委托方认可的章，提货人员和送货人员要提供有效身份证，由委托方核对后复印并与其他证明资料一并留存。送货时，中标方还</w:t>
      </w:r>
      <w:r>
        <w:rPr>
          <w:rFonts w:hint="eastAsia" w:ascii="仿宋_GB2312" w:hAnsi="仿宋" w:eastAsia="仿宋_GB2312" w:cs="仿宋"/>
          <w:sz w:val="30"/>
          <w:szCs w:val="30"/>
        </w:rPr>
        <w:t>须提供每批次交付货物的出厂质量检验报告和塑化剂检验报告，并对各项报告的真实性、合法性负责。上述资料</w:t>
      </w:r>
      <w:r>
        <w:rPr>
          <w:rFonts w:hint="eastAsia" w:ascii="仿宋_GB2312" w:eastAsia="仿宋_GB2312"/>
          <w:sz w:val="30"/>
          <w:szCs w:val="30"/>
        </w:rPr>
        <w:t>可以传真件、扫描件或其他双方认可合法有效的数据电文形式出具。</w:t>
      </w:r>
    </w:p>
    <w:p w14:paraId="0048B3E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第三十八条</w:t>
      </w:r>
      <w:r>
        <w:rPr>
          <w:rFonts w:hint="eastAsia" w:ascii="仿宋_GB2312" w:eastAsia="仿宋_GB2312"/>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0029D32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第三十九条</w:t>
      </w:r>
      <w:r>
        <w:rPr>
          <w:rFonts w:hint="eastAsia" w:ascii="仿宋_GB2312" w:eastAsia="仿宋_GB2312"/>
          <w:sz w:val="30"/>
          <w:szCs w:val="30"/>
        </w:rPr>
        <w:t xml:space="preserve"> 发货。委托方（中标方）安排发货前应通知中标方（委托方）；在发货后，需在中储粮网进行“安排发货”操作。</w:t>
      </w:r>
    </w:p>
    <w:p w14:paraId="5F97124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第四十条 </w:t>
      </w:r>
      <w:r>
        <w:rPr>
          <w:rFonts w:hint="eastAsia" w:ascii="仿宋_GB2312" w:eastAsia="仿宋_GB2312"/>
          <w:sz w:val="30"/>
          <w:szCs w:val="30"/>
        </w:rPr>
        <w:t>交割期。交割期原则上按照双方合同约定执行，销售合同和采购合同的履约期限和出入库期限以交易清单为准。如有特殊情况，如中标方不能按期出库，须于合同到期日前十个工作日事先与委托方协商延期事宜，协商达成一致，双方方可签订延期出库协议，</w:t>
      </w:r>
      <w:r>
        <w:rPr>
          <w:rFonts w:hint="eastAsia" w:ascii="仿宋_GB2312" w:hAnsi="仿宋" w:eastAsia="仿宋_GB2312"/>
          <w:color w:val="000000"/>
          <w:sz w:val="30"/>
          <w:szCs w:val="30"/>
        </w:rPr>
        <w:t>落实延期时间，同时对延期期间出库的粮油按照分段累进的方式收取保管费：</w:t>
      </w:r>
      <w:permStart w:id="10" w:edGrp="everyone"/>
      <w:r>
        <w:rPr>
          <w:rFonts w:hint="eastAsia" w:ascii="仿宋_GB2312" w:hAnsi="仿宋" w:eastAsia="仿宋_GB2312"/>
          <w:color w:val="000000"/>
          <w:sz w:val="30"/>
          <w:szCs w:val="30"/>
        </w:rPr>
        <w:t>逾期10日（含）以内为1元/吨/日；10日以上至20日（含）为2元/吨/日；20日以上至30日（含）为3元/吨/日，以此类推</w:t>
      </w:r>
      <w:permEnd w:id="10"/>
      <w:r>
        <w:rPr>
          <w:rFonts w:hint="eastAsia" w:ascii="仿宋_GB2312" w:hAnsi="仿宋" w:eastAsia="仿宋_GB2312"/>
          <w:color w:val="000000"/>
          <w:sz w:val="30"/>
          <w:szCs w:val="30"/>
        </w:rPr>
        <w:t>。协商未达成的，按责任方违约</w:t>
      </w:r>
      <w:r>
        <w:rPr>
          <w:rFonts w:hint="eastAsia" w:ascii="仿宋_GB2312" w:eastAsia="仿宋_GB2312"/>
          <w:sz w:val="30"/>
          <w:szCs w:val="30"/>
        </w:rPr>
        <w:t>处理（买方逾期提货或者付款，经卖方书面催告，买方在催告期内仍未履行付款或提货义务的，卖方有权解除本合同，另行处置货物）。</w:t>
      </w:r>
    </w:p>
    <w:p w14:paraId="41A621F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第四十一条</w:t>
      </w:r>
      <w:r>
        <w:rPr>
          <w:rFonts w:hint="eastAsia" w:ascii="仿宋_GB2312" w:eastAsia="仿宋_GB2312"/>
          <w:sz w:val="30"/>
          <w:szCs w:val="30"/>
        </w:rPr>
        <w:t xml:space="preserve"> 履约保证金追加。采购合同项下，在中标方向委托方交付完毕全部货物前，若郑州商品交易所郑油</w:t>
      </w:r>
      <w:permStart w:id="11" w:edGrp="everyone"/>
      <w:r>
        <w:rPr>
          <w:rFonts w:hint="eastAsia" w:ascii="仿宋_GB2312" w:eastAsia="仿宋_GB2312"/>
          <w:sz w:val="30"/>
          <w:szCs w:val="30"/>
        </w:rPr>
        <w:t>2</w:t>
      </w:r>
      <w:r>
        <w:rPr>
          <w:rFonts w:hint="eastAsia" w:ascii="仿宋_GB2312" w:eastAsia="仿宋_GB2312"/>
          <w:sz w:val="30"/>
          <w:szCs w:val="30"/>
          <w:lang w:val="en-US" w:eastAsia="zh-CN"/>
        </w:rPr>
        <w:t>601</w:t>
      </w:r>
      <w:permEnd w:id="11"/>
      <w:r>
        <w:rPr>
          <w:rFonts w:hint="eastAsia" w:ascii="仿宋_GB2312" w:eastAsia="仿宋_GB2312"/>
          <w:sz w:val="30"/>
          <w:szCs w:val="30"/>
        </w:rPr>
        <w:t xml:space="preserve">期货合约（该合约到期后，以同品种下一个主力合约为准，依此类推，下同）与该商品交易所郑油 </w:t>
      </w:r>
      <w:permStart w:id="12" w:edGrp="everyone"/>
      <w:r>
        <w:rPr>
          <w:rFonts w:hint="eastAsia" w:ascii="仿宋_GB2312" w:eastAsia="仿宋_GB2312"/>
          <w:sz w:val="30"/>
          <w:szCs w:val="30"/>
        </w:rPr>
        <w:t>2</w:t>
      </w:r>
      <w:r>
        <w:rPr>
          <w:rFonts w:hint="eastAsia" w:ascii="仿宋_GB2312" w:eastAsia="仿宋_GB2312"/>
          <w:sz w:val="30"/>
          <w:szCs w:val="30"/>
          <w:lang w:val="en-US" w:eastAsia="zh-CN"/>
        </w:rPr>
        <w:t>601</w:t>
      </w:r>
      <w:permEnd w:id="12"/>
      <w:r>
        <w:rPr>
          <w:rFonts w:hint="eastAsia" w:ascii="仿宋_GB2312" w:eastAsia="仿宋_GB2312"/>
          <w:sz w:val="30"/>
          <w:szCs w:val="30"/>
        </w:rPr>
        <w:t xml:space="preserve"> 期货合约在本合同成交日的结算价（基准价）相比，每上涨达到 5％时，中标方应在接到委托方通知之日起 1 个工作日内，就未交货部分向委托方指定收取追加保证金账户追加相应涨幅的保证金。中标方交付完毕全部货物并且无其他违约行为后5个工作日内，委托方通过线下账户直接汇至卖方指定账户。</w:t>
      </w:r>
    </w:p>
    <w:p w14:paraId="1D714384">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销售合同项下，在合同到期前，中标方未付清全款的，因郑州商品交易所郑油</w:t>
      </w:r>
      <w:permStart w:id="13" w:edGrp="everyone"/>
      <w:r>
        <w:rPr>
          <w:rFonts w:hint="eastAsia" w:ascii="仿宋_GB2312" w:eastAsia="仿宋_GB2312"/>
          <w:sz w:val="30"/>
          <w:szCs w:val="30"/>
        </w:rPr>
        <w:t>2</w:t>
      </w:r>
      <w:r>
        <w:rPr>
          <w:rFonts w:hint="eastAsia" w:ascii="仿宋_GB2312" w:eastAsia="仿宋_GB2312"/>
          <w:sz w:val="30"/>
          <w:szCs w:val="30"/>
          <w:lang w:val="en-US" w:eastAsia="zh-CN"/>
        </w:rPr>
        <w:t>601</w:t>
      </w:r>
      <w:permEnd w:id="13"/>
      <w:r>
        <w:rPr>
          <w:rFonts w:hint="eastAsia" w:ascii="仿宋_GB2312" w:eastAsia="仿宋_GB2312"/>
          <w:sz w:val="30"/>
          <w:szCs w:val="30"/>
        </w:rPr>
        <w:t>合约行情变化，需要对合同未执行部分追加保证金的，中标方应在收到委托方通知后1个工作日内将追加的保证金线下汇至委托方指定账户。具体标准为：若郑州商品交易所郑油</w:t>
      </w:r>
      <w:permStart w:id="14" w:edGrp="everyone"/>
      <w:r>
        <w:rPr>
          <w:rFonts w:hint="eastAsia" w:ascii="仿宋_GB2312" w:eastAsia="仿宋_GB2312"/>
          <w:sz w:val="30"/>
          <w:szCs w:val="30"/>
        </w:rPr>
        <w:t>2</w:t>
      </w:r>
      <w:r>
        <w:rPr>
          <w:rFonts w:hint="eastAsia" w:ascii="仿宋_GB2312" w:eastAsia="仿宋_GB2312"/>
          <w:sz w:val="30"/>
          <w:szCs w:val="30"/>
          <w:lang w:val="en-US" w:eastAsia="zh-CN"/>
        </w:rPr>
        <w:t>601</w:t>
      </w:r>
      <w:permEnd w:id="14"/>
      <w:r>
        <w:rPr>
          <w:rFonts w:hint="eastAsia" w:ascii="仿宋_GB2312" w:eastAsia="仿宋_GB2312"/>
          <w:sz w:val="30"/>
          <w:szCs w:val="30"/>
        </w:rPr>
        <w:t>期货合约（该合约到期后，以同品种下一个主力合约为准，依此类推，下同）与该商品交易所郑油</w:t>
      </w:r>
      <w:permStart w:id="15" w:edGrp="everyone"/>
      <w:r>
        <w:rPr>
          <w:rFonts w:hint="eastAsia" w:ascii="仿宋_GB2312" w:eastAsia="仿宋_GB2312"/>
          <w:sz w:val="30"/>
          <w:szCs w:val="30"/>
        </w:rPr>
        <w:t>2</w:t>
      </w:r>
      <w:r>
        <w:rPr>
          <w:rFonts w:hint="eastAsia" w:ascii="仿宋_GB2312" w:eastAsia="仿宋_GB2312"/>
          <w:sz w:val="30"/>
          <w:szCs w:val="30"/>
          <w:lang w:val="en-US" w:eastAsia="zh-CN"/>
        </w:rPr>
        <w:t>601</w:t>
      </w:r>
      <w:permEnd w:id="15"/>
      <w:r>
        <w:rPr>
          <w:rFonts w:hint="eastAsia" w:ascii="仿宋_GB2312" w:eastAsia="仿宋_GB2312"/>
          <w:sz w:val="30"/>
          <w:szCs w:val="30"/>
        </w:rPr>
        <w:t>期货合约在本合同成交日的收盘价（基准价）相比，每下跌达到5%，中标方应就未履行部分向委托方追加相应跌幅的保证金。追加保证金不可冲抵货款，委托方将在合同执行完毕后5个工作日内，且在中标方无违约情况下，原路退回。</w:t>
      </w:r>
    </w:p>
    <w:p w14:paraId="1D37E96F">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第四十二条 </w:t>
      </w:r>
      <w:r>
        <w:rPr>
          <w:rFonts w:hint="eastAsia" w:ascii="仿宋_GB2312" w:eastAsia="仿宋_GB2312"/>
          <w:sz w:val="30"/>
          <w:szCs w:val="30"/>
        </w:rPr>
        <w:t>货物验收。中标方（委托方）对发运货物进行验收确认后，应及时在中储粮网进行“买方验收”操作。</w:t>
      </w:r>
    </w:p>
    <w:p w14:paraId="05030FEF">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验收包括质量验收和数量验收。数量、质量均以交易标的实物为准，不做水、杂增扣量。</w:t>
      </w:r>
    </w:p>
    <w:p w14:paraId="6186F7AC">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中标方送货时，货物质量以实际交收地点出具的检验报告为准。交货时中标方与委托方共同取样封存，双方签封的样品由双方各持一份。</w:t>
      </w:r>
    </w:p>
    <w:p w14:paraId="11D87600">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中标方或委托方对所提货物数量有异议的，应在货物交付后 30个工作日内以书面形式提出，逾期视为足量交货；委托方对所收货物质量有异议的，应在货物交付后 30 个工作日内以书面形式提出，逾期视为货物合格；如货物质量问题属于委托方在上述期间内无法通过合理方式发现的隐藏瑕疵则不受此限。</w:t>
      </w:r>
    </w:p>
    <w:p w14:paraId="3833A2C9">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2FF8C91F">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第四十三条</w:t>
      </w:r>
      <w:r>
        <w:rPr>
          <w:rFonts w:hint="eastAsia" w:ascii="仿宋_GB2312" w:eastAsia="仿宋_GB2312"/>
          <w:sz w:val="30"/>
          <w:szCs w:val="30"/>
        </w:rPr>
        <w:t>交易结算。委托方（中标方）在中储粮网提交“申请完结”操作，另一方同意后，中储粮网将会员剩余保证金自动释放至双方会员的资金账户内（如有违约情况参照本细则第七章违约相关规定执行）。</w:t>
      </w:r>
      <w:permStart w:id="16" w:edGrp="everyone"/>
      <w:r>
        <w:rPr>
          <w:rFonts w:hint="eastAsia" w:ascii="仿宋_GB2312" w:eastAsia="仿宋_GB2312"/>
          <w:sz w:val="30"/>
          <w:szCs w:val="30"/>
        </w:rPr>
        <w:t>委托方（中标方）在交易结算完结后10个工作日内根据国家有关政策规定开具正规发票</w:t>
      </w:r>
      <w:permEnd w:id="16"/>
      <w:r>
        <w:rPr>
          <w:rFonts w:hint="eastAsia" w:ascii="仿宋_GB2312" w:eastAsia="仿宋_GB2312"/>
          <w:sz w:val="30"/>
          <w:szCs w:val="30"/>
        </w:rPr>
        <w:t>。</w:t>
      </w:r>
    </w:p>
    <w:p w14:paraId="76486467">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第四十四条</w:t>
      </w:r>
      <w:r>
        <w:rPr>
          <w:rFonts w:hint="eastAsia" w:ascii="仿宋_GB2312" w:eastAsia="仿宋_GB2312"/>
          <w:sz w:val="30"/>
          <w:szCs w:val="30"/>
        </w:rPr>
        <w:t xml:space="preserve"> 交割异议。交割过程中双方对所交割货物出现异议的，由中标方和委托方先行协商。协商不能解决的，在交割期内向电商交易中心提交商务调解申请，电商交易中心接到商务调解申请及举证材料后，交由商务协调小组进行材料核实，并出具调解结果。双方认同调解结果的，应遵照调解结果执行；对调解结果有异议的，各方可通过其他法律途径解决。</w:t>
      </w:r>
    </w:p>
    <w:p w14:paraId="5240C1D2">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第四十五条</w:t>
      </w:r>
      <w:r>
        <w:rPr>
          <w:rFonts w:hint="eastAsia" w:ascii="仿宋_GB2312" w:eastAsia="仿宋_GB2312"/>
          <w:sz w:val="30"/>
          <w:szCs w:val="30"/>
        </w:rPr>
        <w:t xml:space="preserve"> 解约。双方经协商均同意终止合同时（委托方</w:t>
      </w:r>
      <w:r>
        <w:rPr>
          <w:rFonts w:hint="eastAsia" w:ascii="仿宋_GB2312" w:eastAsia="仿宋_GB2312"/>
          <w:bCs/>
          <w:sz w:val="30"/>
          <w:szCs w:val="30"/>
        </w:rPr>
        <w:t>做解约操作前，必须经所在分（子）公司同意并得到相关批复后方可操作</w:t>
      </w:r>
      <w:r>
        <w:rPr>
          <w:rFonts w:hint="eastAsia" w:ascii="仿宋_GB2312" w:eastAsia="仿宋_GB2312"/>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19587F9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第四十六条</w:t>
      </w:r>
      <w:r>
        <w:rPr>
          <w:rFonts w:hint="eastAsia" w:ascii="仿宋_GB2312" w:eastAsia="仿宋_GB2312"/>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73247A35">
      <w:pPr>
        <w:tabs>
          <w:tab w:val="left" w:pos="-180"/>
        </w:tabs>
        <w:ind w:firstLine="600" w:firstLineChars="200"/>
        <w:rPr>
          <w:rFonts w:ascii="仿宋_GB2312" w:eastAsia="仿宋_GB2312"/>
          <w:sz w:val="30"/>
          <w:szCs w:val="30"/>
        </w:rPr>
      </w:pPr>
    </w:p>
    <w:p w14:paraId="59712ABB">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14:paraId="65811BE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第四十七条</w:t>
      </w:r>
      <w:r>
        <w:rPr>
          <w:rFonts w:hint="eastAsia" w:ascii="仿宋_GB2312" w:eastAsia="仿宋_GB2312"/>
          <w:sz w:val="30"/>
          <w:szCs w:val="30"/>
        </w:rPr>
        <w:t xml:space="preserve"> 违约是指会员违反《竞价专场交易细则》及双方签订的交易合同或中储粮网相关规定的行为。包括但不限于：</w:t>
      </w:r>
    </w:p>
    <w:p w14:paraId="251944B1">
      <w:pPr>
        <w:tabs>
          <w:tab w:val="left" w:pos="-180"/>
        </w:tabs>
        <w:ind w:firstLine="600" w:firstLineChars="200"/>
        <w:rPr>
          <w:rFonts w:ascii="仿宋_GB2312" w:eastAsia="仿宋_GB2312"/>
          <w:sz w:val="30"/>
          <w:szCs w:val="30"/>
        </w:rPr>
      </w:pPr>
      <w:r>
        <w:rPr>
          <w:rFonts w:hint="eastAsia" w:ascii="仿宋_GB2312" w:eastAsia="仿宋_GB2312"/>
          <w:sz w:val="30"/>
          <w:szCs w:val="30"/>
        </w:rPr>
        <w:t>（一）不履行或不完全履行成交合同义务的行为；</w:t>
      </w:r>
    </w:p>
    <w:p w14:paraId="556CFBDD">
      <w:pPr>
        <w:tabs>
          <w:tab w:val="left" w:pos="-180"/>
        </w:tabs>
        <w:ind w:firstLine="600" w:firstLineChars="200"/>
        <w:rPr>
          <w:rFonts w:ascii="仿宋_GB2312" w:eastAsia="仿宋_GB2312"/>
          <w:sz w:val="30"/>
          <w:szCs w:val="30"/>
        </w:rPr>
      </w:pPr>
      <w:r>
        <w:rPr>
          <w:rFonts w:hint="eastAsia" w:ascii="仿宋_GB2312" w:eastAsia="仿宋_GB2312"/>
          <w:sz w:val="30"/>
          <w:szCs w:val="30"/>
        </w:rPr>
        <w:t>（二）对电商交易中心及商务协调小组调解结果未提出书面异议但不履行或不完全履行该调解结果的行为；</w:t>
      </w:r>
    </w:p>
    <w:p w14:paraId="510724A7">
      <w:pPr>
        <w:tabs>
          <w:tab w:val="left" w:pos="-180"/>
        </w:tabs>
        <w:ind w:firstLine="600" w:firstLineChars="200"/>
        <w:rPr>
          <w:rFonts w:ascii="仿宋_GB2312" w:eastAsia="仿宋_GB2312"/>
          <w:sz w:val="30"/>
          <w:szCs w:val="30"/>
        </w:rPr>
      </w:pPr>
      <w:r>
        <w:rPr>
          <w:rFonts w:hint="eastAsia" w:ascii="仿宋_GB2312" w:eastAsia="仿宋_GB2312"/>
          <w:sz w:val="30"/>
          <w:szCs w:val="30"/>
        </w:rPr>
        <w:t>（三）进行虚假交易，恶意串通操纵价格或竞价过程，；</w:t>
      </w:r>
    </w:p>
    <w:p w14:paraId="1A15EC91">
      <w:pPr>
        <w:tabs>
          <w:tab w:val="left" w:pos="-180"/>
        </w:tabs>
        <w:ind w:firstLine="600" w:firstLineChars="200"/>
        <w:rPr>
          <w:rFonts w:ascii="仿宋_GB2312" w:eastAsia="仿宋_GB2312"/>
          <w:sz w:val="30"/>
          <w:szCs w:val="30"/>
        </w:rPr>
      </w:pPr>
      <w:r>
        <w:rPr>
          <w:rFonts w:hint="eastAsia" w:ascii="仿宋_GB2312" w:eastAsia="仿宋_GB2312"/>
          <w:sz w:val="30"/>
          <w:szCs w:val="30"/>
        </w:rPr>
        <w:t>（四）违反中储粮网各项规则、细则及管理办法的行为；</w:t>
      </w:r>
    </w:p>
    <w:p w14:paraId="56213E9B">
      <w:pPr>
        <w:tabs>
          <w:tab w:val="left" w:pos="-180"/>
        </w:tabs>
        <w:ind w:firstLine="600" w:firstLineChars="200"/>
        <w:rPr>
          <w:rFonts w:ascii="仿宋_GB2312" w:eastAsia="仿宋_GB2312"/>
          <w:sz w:val="30"/>
          <w:szCs w:val="30"/>
        </w:rPr>
      </w:pPr>
      <w:r>
        <w:rPr>
          <w:rFonts w:hint="eastAsia" w:ascii="仿宋_GB2312" w:eastAsia="仿宋_GB2312"/>
          <w:sz w:val="30"/>
          <w:szCs w:val="30"/>
        </w:rPr>
        <w:t>（五）恶意攻击中储粮网，危及中储粮网安全，发表负面言论对其他会员造成误导；</w:t>
      </w:r>
    </w:p>
    <w:p w14:paraId="546BA888">
      <w:pPr>
        <w:tabs>
          <w:tab w:val="left" w:pos="-180"/>
        </w:tabs>
        <w:ind w:firstLine="600" w:firstLineChars="200"/>
        <w:rPr>
          <w:rFonts w:ascii="仿宋_GB2312" w:eastAsia="仿宋_GB2312"/>
          <w:sz w:val="30"/>
          <w:szCs w:val="30"/>
        </w:rPr>
      </w:pPr>
      <w:r>
        <w:rPr>
          <w:rFonts w:hint="eastAsia" w:ascii="仿宋_GB2312" w:eastAsia="仿宋_GB2312"/>
          <w:sz w:val="30"/>
          <w:szCs w:val="30"/>
        </w:rPr>
        <w:t>（六）违反国家粮食流通相关法规政策等情形。</w:t>
      </w:r>
    </w:p>
    <w:p w14:paraId="412D5CA5">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七）中标方未按照本合同约定及时向委托方足额支付追加保证金，经委托方书面催告，在催告期内仍未足额支付的，委托方有权解除合同，并要求中标方按照合同总金额10%向委托方支付违约金。中标方已支付的保证金不予返还，保证金不足以支付违约金，并弥补由此给委托方造成的损失的，</w:t>
      </w:r>
      <w:bookmarkStart w:id="2" w:name="OLE_LINK2"/>
      <w:r>
        <w:rPr>
          <w:rFonts w:hint="eastAsia" w:ascii="仿宋_GB2312" w:eastAsia="仿宋_GB2312"/>
          <w:sz w:val="30"/>
          <w:szCs w:val="30"/>
        </w:rPr>
        <w:t>委托</w:t>
      </w:r>
      <w:bookmarkEnd w:id="2"/>
      <w:r>
        <w:rPr>
          <w:rFonts w:hint="eastAsia" w:ascii="仿宋_GB2312" w:eastAsia="仿宋_GB2312"/>
          <w:sz w:val="30"/>
          <w:szCs w:val="30"/>
        </w:rPr>
        <w:t>方有权进一步向买方追偿。</w:t>
      </w:r>
    </w:p>
    <w:p w14:paraId="04480DB9">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八）非因委托方原因，中标方拒不执行合同，即为中标方违约。违约金分两种情况执行。合同执行期内做违约处理（即，合同履行期内，中标方以其行为明示或默示不再履行合同约定）的，双方在中储粮网进行“买方违约”操作、确认，</w:t>
      </w:r>
      <w:r>
        <w:rPr>
          <w:rFonts w:hint="eastAsia" w:ascii="仿宋_GB2312" w:eastAsia="仿宋_GB2312"/>
          <w:b/>
          <w:bCs/>
          <w:color w:val="FF0000"/>
          <w:sz w:val="30"/>
          <w:szCs w:val="30"/>
        </w:rPr>
        <w:t>违约金额度为中储粮网线上对应合同锁定的保证金和委托方线下已收取的保证金；合同执行期外违约处理（即，合同履行期限届满后，中标方仍未按照合同约定全面、及时履行合同义务）的，除中储粮网线上的保证金和线下的追加保证金以外，委托方有权按以下标准进一步向</w:t>
      </w:r>
      <w:bookmarkStart w:id="3" w:name="OLE_LINK3"/>
      <w:r>
        <w:rPr>
          <w:rFonts w:hint="eastAsia" w:ascii="仿宋_GB2312" w:eastAsia="仿宋_GB2312"/>
          <w:b/>
          <w:bCs/>
          <w:color w:val="FF0000"/>
          <w:sz w:val="30"/>
          <w:szCs w:val="30"/>
        </w:rPr>
        <w:t>中标</w:t>
      </w:r>
      <w:bookmarkEnd w:id="3"/>
      <w:r>
        <w:rPr>
          <w:rFonts w:hint="eastAsia" w:ascii="仿宋_GB2312" w:eastAsia="仿宋_GB2312"/>
          <w:b/>
          <w:bCs/>
          <w:color w:val="FF0000"/>
          <w:sz w:val="30"/>
          <w:szCs w:val="30"/>
        </w:rPr>
        <w:t>方追偿，中标方应当承担以下违约责任</w:t>
      </w:r>
      <w:r>
        <w:rPr>
          <w:rFonts w:hint="eastAsia" w:ascii="仿宋_GB2312" w:eastAsia="仿宋_GB2312"/>
          <w:sz w:val="30"/>
          <w:szCs w:val="30"/>
        </w:rPr>
        <w:t>：</w:t>
      </w:r>
    </w:p>
    <w:p w14:paraId="5B431546">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1、每逾期1天，</w:t>
      </w:r>
      <w:r>
        <w:rPr>
          <w:rFonts w:hint="eastAsia" w:ascii="仿宋_GB2312" w:eastAsia="仿宋_GB2312"/>
          <w:color w:val="FF0000"/>
          <w:sz w:val="30"/>
          <w:szCs w:val="30"/>
        </w:rPr>
        <w:t>中标</w:t>
      </w:r>
      <w:r>
        <w:rPr>
          <w:rFonts w:hint="eastAsia" w:ascii="仿宋_GB2312" w:eastAsia="仿宋_GB2312"/>
          <w:sz w:val="30"/>
          <w:szCs w:val="30"/>
        </w:rPr>
        <w:t>方应就未支付款项按照每天0.6‰的标准，向委托方支付违约金。</w:t>
      </w:r>
    </w:p>
    <w:p w14:paraId="3793F892">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2、逾期未提取货物的，</w:t>
      </w:r>
      <w:r>
        <w:rPr>
          <w:rFonts w:hint="eastAsia" w:ascii="仿宋_GB2312" w:eastAsia="仿宋_GB2312"/>
          <w:color w:val="FF0000"/>
          <w:sz w:val="30"/>
          <w:szCs w:val="30"/>
        </w:rPr>
        <w:t>中标</w:t>
      </w:r>
      <w:r>
        <w:rPr>
          <w:rFonts w:hint="eastAsia" w:ascii="仿宋_GB2312" w:eastAsia="仿宋_GB2312"/>
          <w:sz w:val="30"/>
          <w:szCs w:val="30"/>
        </w:rPr>
        <w:t>方应向委托方支付逾期违约金，逾期违约金采用分段累进的方式计算：</w:t>
      </w:r>
      <w:permStart w:id="17" w:edGrp="everyone"/>
      <w:r>
        <w:rPr>
          <w:rFonts w:hint="eastAsia" w:ascii="仿宋_GB2312" w:eastAsia="仿宋_GB2312"/>
          <w:sz w:val="30"/>
          <w:szCs w:val="30"/>
        </w:rPr>
        <w:t>逾期10日（含）以内为3元/</w:t>
      </w:r>
      <w:r>
        <w:rPr>
          <w:rFonts w:hint="eastAsia"/>
        </w:rPr>
        <w:fldChar w:fldCharType="begin"/>
      </w:r>
      <w:r>
        <w:instrText xml:space="preserve"> DOCVARIABLE  单位1  \* MERGEFORMAT </w:instrText>
      </w:r>
      <w:r>
        <w:rPr>
          <w:rFonts w:hint="eastAsia"/>
        </w:rPr>
        <w:fldChar w:fldCharType="separate"/>
      </w:r>
      <w:r>
        <w:rPr>
          <w:rFonts w:hint="eastAsia" w:ascii="仿宋_GB2312" w:eastAsia="仿宋_GB2312"/>
          <w:sz w:val="30"/>
          <w:szCs w:val="30"/>
        </w:rPr>
        <w:t>吨</w:t>
      </w:r>
      <w:r>
        <w:rPr>
          <w:rFonts w:hint="eastAsia" w:ascii="仿宋_GB2312" w:eastAsia="仿宋_GB2312"/>
          <w:sz w:val="30"/>
          <w:szCs w:val="30"/>
        </w:rPr>
        <w:fldChar w:fldCharType="end"/>
      </w:r>
      <w:r>
        <w:rPr>
          <w:rFonts w:hint="eastAsia" w:ascii="仿宋_GB2312" w:eastAsia="仿宋_GB2312"/>
          <w:sz w:val="30"/>
          <w:szCs w:val="30"/>
        </w:rPr>
        <w:t>/日；10日以上至20日（含）为4元/吨/日；20日以上为5元/吨/日</w:t>
      </w:r>
      <w:permEnd w:id="17"/>
      <w:r>
        <w:rPr>
          <w:rFonts w:hint="eastAsia" w:ascii="仿宋_GB2312" w:eastAsia="仿宋_GB2312"/>
          <w:sz w:val="30"/>
          <w:szCs w:val="30"/>
        </w:rPr>
        <w:t>。</w:t>
      </w:r>
    </w:p>
    <w:p w14:paraId="42B3C039">
      <w:pPr>
        <w:tabs>
          <w:tab w:val="left" w:pos="-180"/>
        </w:tabs>
        <w:ind w:firstLine="600" w:firstLineChars="200"/>
        <w:rPr>
          <w:rFonts w:ascii="仿宋_GB2312" w:eastAsia="仿宋_GB2312"/>
          <w:sz w:val="30"/>
          <w:szCs w:val="30"/>
        </w:rPr>
      </w:pPr>
      <w:r>
        <w:rPr>
          <w:rFonts w:hint="eastAsia" w:ascii="仿宋_GB2312" w:eastAsia="仿宋_GB2312"/>
          <w:sz w:val="30"/>
          <w:szCs w:val="30"/>
        </w:rPr>
        <w:t>追偿违约金支付方式：通过线下向委托方指定账户进行违约金足额汇划。</w:t>
      </w:r>
    </w:p>
    <w:p w14:paraId="04E2139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第四十八条</w:t>
      </w:r>
      <w:r>
        <w:rPr>
          <w:rFonts w:hint="eastAsia" w:ascii="仿宋_GB2312" w:eastAsia="仿宋_GB2312"/>
          <w:sz w:val="30"/>
          <w:szCs w:val="30"/>
        </w:rPr>
        <w:t xml:space="preserve"> 商务协调小组为电商交易中心专设机构，针对交易双方所发生的商务纠纷进行商务调解。经协商或调解达成一致意见的，形成协议书，电商交易中心将根据协议书对纠纷双方进行相应的商务处理。未达成一致意见的，交易双方可依法通过其他法律途径解决。</w:t>
      </w:r>
    </w:p>
    <w:p w14:paraId="70173DC2">
      <w:pPr>
        <w:tabs>
          <w:tab w:val="left" w:pos="-180"/>
          <w:tab w:val="left" w:pos="2012"/>
        </w:tabs>
        <w:ind w:left="600"/>
        <w:rPr>
          <w:rFonts w:ascii="仿宋_GB2312" w:eastAsia="仿宋_GB2312"/>
          <w:sz w:val="30"/>
          <w:szCs w:val="30"/>
        </w:rPr>
      </w:pPr>
      <w:r>
        <w:rPr>
          <w:rFonts w:hint="eastAsia" w:ascii="仿宋_GB2312" w:eastAsia="仿宋_GB2312"/>
          <w:b/>
          <w:sz w:val="30"/>
          <w:szCs w:val="30"/>
        </w:rPr>
        <w:t>第四十九条</w:t>
      </w:r>
      <w:r>
        <w:rPr>
          <w:rFonts w:hint="eastAsia" w:ascii="仿宋_GB2312" w:eastAsia="仿宋_GB2312"/>
          <w:sz w:val="30"/>
          <w:szCs w:val="30"/>
        </w:rPr>
        <w:t xml:space="preserve"> 违约处理办法</w:t>
      </w:r>
    </w:p>
    <w:p w14:paraId="46A91F81">
      <w:pPr>
        <w:ind w:firstLine="600" w:firstLineChars="200"/>
        <w:rPr>
          <w:rFonts w:ascii="仿宋_GB2312" w:eastAsia="仿宋_GB2312"/>
          <w:sz w:val="30"/>
          <w:szCs w:val="30"/>
        </w:rPr>
      </w:pPr>
      <w:r>
        <w:rPr>
          <w:rFonts w:hint="eastAsia" w:ascii="仿宋_GB2312" w:eastAsia="仿宋_GB2312"/>
          <w:sz w:val="30"/>
          <w:szCs w:val="30"/>
        </w:rPr>
        <w:t>（一）对违约行为，电商交易中心对会员依次进行提示、劝告、扣除其相应的保证金，对多次、严重或恶意违约的会员，将取消其会员资格，并追究相关责任；</w:t>
      </w:r>
    </w:p>
    <w:p w14:paraId="612A8495">
      <w:pPr>
        <w:tabs>
          <w:tab w:val="left" w:pos="-180"/>
        </w:tabs>
        <w:ind w:firstLine="600" w:firstLineChars="200"/>
        <w:rPr>
          <w:rFonts w:ascii="仿宋_GB2312" w:eastAsia="仿宋_GB2312"/>
          <w:sz w:val="30"/>
          <w:szCs w:val="30"/>
        </w:rPr>
      </w:pPr>
      <w:r>
        <w:rPr>
          <w:rFonts w:hint="eastAsia" w:ascii="仿宋_GB2312" w:eastAsia="仿宋_GB2312"/>
          <w:sz w:val="30"/>
          <w:szCs w:val="30"/>
        </w:rPr>
        <w:t>（二）电商交易中心有权对涉及违约会员的保证金进行清算，并将过错方违约数量对应的履约保证金划转至无过错方账户，无过错方相应资金予以退还；</w:t>
      </w:r>
    </w:p>
    <w:p w14:paraId="372D3779">
      <w:pPr>
        <w:tabs>
          <w:tab w:val="left" w:pos="-180"/>
        </w:tabs>
        <w:ind w:firstLine="600" w:firstLineChars="200"/>
        <w:rPr>
          <w:rFonts w:ascii="仿宋_GB2312" w:eastAsia="仿宋_GB2312"/>
          <w:sz w:val="30"/>
          <w:szCs w:val="30"/>
        </w:rPr>
      </w:pPr>
      <w:r>
        <w:rPr>
          <w:rFonts w:hint="eastAsia" w:ascii="仿宋_GB2312" w:eastAsia="仿宋_GB2312"/>
          <w:sz w:val="30"/>
          <w:szCs w:val="30"/>
        </w:rPr>
        <w:t>（三）对于进行虚假交易、恶意交易行为方，其交易保证金将由电商交易中心作为违约金直接全额划转至中储粮网账户；对违约行为的过错方对应违约数量的交易保证金，同样由电商交易中心作为违约金直接划转至中储粮网账户。</w:t>
      </w:r>
    </w:p>
    <w:p w14:paraId="5CB5F3A6">
      <w:pPr>
        <w:tabs>
          <w:tab w:val="left" w:pos="-180"/>
        </w:tabs>
        <w:ind w:firstLine="600" w:firstLineChars="200"/>
        <w:rPr>
          <w:rFonts w:ascii="仿宋_GB2312" w:eastAsia="仿宋_GB2312"/>
          <w:sz w:val="30"/>
          <w:szCs w:val="30"/>
        </w:rPr>
      </w:pPr>
      <w:r>
        <w:rPr>
          <w:rFonts w:hint="eastAsia" w:ascii="仿宋_GB2312" w:eastAsia="仿宋_GB2312"/>
          <w:sz w:val="30"/>
          <w:szCs w:val="30"/>
        </w:rPr>
        <w:t>（四）电商交易中心将清算结果通知相关会员；</w:t>
      </w:r>
    </w:p>
    <w:p w14:paraId="4B510736">
      <w:pPr>
        <w:ind w:firstLine="600" w:firstLineChars="200"/>
        <w:rPr>
          <w:rFonts w:ascii="仿宋_GB2312" w:eastAsia="仿宋_GB2312"/>
          <w:sz w:val="30"/>
          <w:szCs w:val="30"/>
        </w:rPr>
      </w:pPr>
    </w:p>
    <w:p w14:paraId="7E8E8FA2">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14:paraId="3E294512">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第五十条</w:t>
      </w:r>
      <w:r>
        <w:rPr>
          <w:rFonts w:hint="eastAsia" w:ascii="仿宋_GB2312" w:eastAsia="仿宋_GB2312"/>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504B89E5">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第五十一条</w:t>
      </w:r>
      <w:r>
        <w:rPr>
          <w:rFonts w:hint="eastAsia" w:ascii="仿宋_GB2312" w:eastAsia="仿宋_GB2312"/>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7CF60588">
      <w:pPr>
        <w:tabs>
          <w:tab w:val="left" w:pos="-180"/>
        </w:tabs>
        <w:ind w:firstLine="602" w:firstLineChars="200"/>
        <w:rPr>
          <w:rFonts w:ascii="仿宋_GB2312" w:eastAsia="仿宋_GB2312"/>
          <w:sz w:val="30"/>
          <w:szCs w:val="30"/>
        </w:rPr>
      </w:pPr>
      <w:r>
        <w:rPr>
          <w:rFonts w:hint="eastAsia" w:ascii="仿宋_GB2312" w:eastAsia="仿宋_GB2312"/>
          <w:b/>
          <w:sz w:val="30"/>
          <w:szCs w:val="30"/>
        </w:rPr>
        <w:t xml:space="preserve">第五十二条 </w:t>
      </w:r>
      <w:r>
        <w:rPr>
          <w:rFonts w:hint="eastAsia" w:ascii="仿宋_GB2312" w:eastAsia="仿宋_GB2312"/>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14:paraId="053F2F77">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第五十三条</w:t>
      </w:r>
      <w:r>
        <w:rPr>
          <w:rFonts w:hint="eastAsia" w:ascii="仿宋_GB2312" w:eastAsia="仿宋_GB2312"/>
          <w:sz w:val="30"/>
          <w:szCs w:val="30"/>
        </w:rPr>
        <w:t xml:space="preserve"> 在保证网上交易公平、公正、公开的前提下，中储粮网有权对会员注册数据及交易数据进行查阅，并可按照法定程序、中储粮（雄安）粮油交易中心有限公司的规定将数据提供给相关行政管理部门。</w:t>
      </w:r>
    </w:p>
    <w:p w14:paraId="640CA1D9">
      <w:pPr>
        <w:tabs>
          <w:tab w:val="left" w:pos="-180"/>
        </w:tabs>
        <w:ind w:firstLine="600" w:firstLineChars="200"/>
        <w:jc w:val="center"/>
        <w:rPr>
          <w:rFonts w:ascii="黑体" w:hAnsi="黑体" w:eastAsia="黑体"/>
          <w:sz w:val="30"/>
          <w:szCs w:val="30"/>
        </w:rPr>
      </w:pPr>
    </w:p>
    <w:p w14:paraId="53A9F5D2">
      <w:pPr>
        <w:tabs>
          <w:tab w:val="left" w:pos="-180"/>
        </w:tabs>
        <w:jc w:val="center"/>
        <w:rPr>
          <w:rFonts w:ascii="黑体" w:hAnsi="黑体" w:eastAsia="黑体"/>
          <w:sz w:val="32"/>
          <w:szCs w:val="32"/>
        </w:rPr>
      </w:pPr>
      <w:r>
        <w:rPr>
          <w:rFonts w:hint="eastAsia" w:ascii="黑体" w:hAnsi="黑体" w:eastAsia="黑体"/>
          <w:sz w:val="32"/>
          <w:szCs w:val="32"/>
        </w:rPr>
        <w:t>第九章 附则</w:t>
      </w:r>
    </w:p>
    <w:p w14:paraId="3A485A06">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第五十四条</w:t>
      </w:r>
      <w:r>
        <w:rPr>
          <w:rFonts w:hint="eastAsia" w:ascii="仿宋_GB2312" w:eastAsia="仿宋_GB2312"/>
          <w:sz w:val="30"/>
          <w:szCs w:val="30"/>
        </w:rPr>
        <w:t xml:space="preserve"> 本细则的解释权归中储粮（雄安）粮油交易中心有限公司所有。</w:t>
      </w:r>
    </w:p>
    <w:p w14:paraId="04B25EC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第五十五条</w:t>
      </w:r>
      <w:r>
        <w:rPr>
          <w:rFonts w:hint="eastAsia" w:ascii="仿宋_GB2312" w:eastAsia="仿宋_GB2312"/>
          <w:sz w:val="30"/>
          <w:szCs w:val="30"/>
        </w:rPr>
        <w:t xml:space="preserve"> 如遇法定节假日，本细则有关业务办理时限适当调整，具体以中储粮网公告为准。</w:t>
      </w:r>
    </w:p>
    <w:p w14:paraId="49EA3CBA">
      <w:pPr>
        <w:tabs>
          <w:tab w:val="left" w:pos="-180"/>
          <w:tab w:val="left" w:pos="2012"/>
        </w:tabs>
        <w:ind w:firstLine="602" w:firstLineChars="200"/>
      </w:pPr>
      <w:r>
        <w:rPr>
          <w:rFonts w:hint="eastAsia" w:ascii="仿宋_GB2312" w:eastAsia="仿宋_GB2312"/>
          <w:b/>
          <w:sz w:val="30"/>
          <w:szCs w:val="30"/>
        </w:rPr>
        <w:t xml:space="preserve">第五十六条 </w:t>
      </w:r>
      <w:r>
        <w:rPr>
          <w:rFonts w:hint="eastAsia" w:ascii="仿宋_GB2312" w:eastAsia="仿宋_GB2312"/>
          <w:sz w:val="30"/>
          <w:szCs w:val="30"/>
        </w:rPr>
        <w:t>本细则仅适用于</w:t>
      </w:r>
      <w:permStart w:id="18" w:edGrp="everyone"/>
      <w:r>
        <w:rPr>
          <w:rFonts w:hint="eastAsia" w:ascii="仿宋_GB2312" w:eastAsia="仿宋_GB2312"/>
          <w:sz w:val="30"/>
          <w:szCs w:val="30"/>
        </w:rPr>
        <w:t>油脂</w:t>
      </w:r>
      <w:permEnd w:id="18"/>
      <w:r>
        <w:rPr>
          <w:rFonts w:hint="eastAsia" w:ascii="仿宋_GB2312" w:eastAsia="仿宋_GB2312"/>
          <w:sz w:val="30"/>
          <w:szCs w:val="30"/>
        </w:rPr>
        <w:t>公司委托的本竞价专场交易，并自发布之日起执行。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NotTrackMoves/>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74C88"/>
    <w:rsid w:val="000148FB"/>
    <w:rsid w:val="00015D6F"/>
    <w:rsid w:val="00057888"/>
    <w:rsid w:val="000602ED"/>
    <w:rsid w:val="00062E89"/>
    <w:rsid w:val="000670EB"/>
    <w:rsid w:val="00074C88"/>
    <w:rsid w:val="000807CA"/>
    <w:rsid w:val="000A0FE7"/>
    <w:rsid w:val="000B1D6E"/>
    <w:rsid w:val="000C0C39"/>
    <w:rsid w:val="000C171D"/>
    <w:rsid w:val="000D5C56"/>
    <w:rsid w:val="000E1E9A"/>
    <w:rsid w:val="001009E4"/>
    <w:rsid w:val="001029A6"/>
    <w:rsid w:val="0010520B"/>
    <w:rsid w:val="00105235"/>
    <w:rsid w:val="00121C84"/>
    <w:rsid w:val="0019295F"/>
    <w:rsid w:val="00193744"/>
    <w:rsid w:val="001A478C"/>
    <w:rsid w:val="001A5243"/>
    <w:rsid w:val="001C27D4"/>
    <w:rsid w:val="001C2E1F"/>
    <w:rsid w:val="001C597A"/>
    <w:rsid w:val="002038EB"/>
    <w:rsid w:val="0020728E"/>
    <w:rsid w:val="002108CE"/>
    <w:rsid w:val="00223EAB"/>
    <w:rsid w:val="00224E3B"/>
    <w:rsid w:val="00230014"/>
    <w:rsid w:val="0023334C"/>
    <w:rsid w:val="00234F9A"/>
    <w:rsid w:val="002352CC"/>
    <w:rsid w:val="00247E59"/>
    <w:rsid w:val="00260EFD"/>
    <w:rsid w:val="00261735"/>
    <w:rsid w:val="002618F9"/>
    <w:rsid w:val="00262DDB"/>
    <w:rsid w:val="002632EC"/>
    <w:rsid w:val="00284E24"/>
    <w:rsid w:val="00286B60"/>
    <w:rsid w:val="00287759"/>
    <w:rsid w:val="002A3D99"/>
    <w:rsid w:val="002B0C7F"/>
    <w:rsid w:val="002C2997"/>
    <w:rsid w:val="002C3075"/>
    <w:rsid w:val="002D5968"/>
    <w:rsid w:val="002D5CC0"/>
    <w:rsid w:val="002E5013"/>
    <w:rsid w:val="002F72E0"/>
    <w:rsid w:val="0030771F"/>
    <w:rsid w:val="00307FFA"/>
    <w:rsid w:val="003130B7"/>
    <w:rsid w:val="00315190"/>
    <w:rsid w:val="003178A5"/>
    <w:rsid w:val="00321DD7"/>
    <w:rsid w:val="00322DF5"/>
    <w:rsid w:val="00330B81"/>
    <w:rsid w:val="00336EE9"/>
    <w:rsid w:val="0034505D"/>
    <w:rsid w:val="003515E4"/>
    <w:rsid w:val="00394F51"/>
    <w:rsid w:val="00397EC1"/>
    <w:rsid w:val="003B4AB5"/>
    <w:rsid w:val="003C04E2"/>
    <w:rsid w:val="003C34EB"/>
    <w:rsid w:val="003D5F6E"/>
    <w:rsid w:val="003F1CEE"/>
    <w:rsid w:val="003F7066"/>
    <w:rsid w:val="00407459"/>
    <w:rsid w:val="00410BC1"/>
    <w:rsid w:val="00412A8B"/>
    <w:rsid w:val="004143CA"/>
    <w:rsid w:val="00433633"/>
    <w:rsid w:val="00445AAE"/>
    <w:rsid w:val="00445AEA"/>
    <w:rsid w:val="00446CCA"/>
    <w:rsid w:val="0047099A"/>
    <w:rsid w:val="00474389"/>
    <w:rsid w:val="00481AF9"/>
    <w:rsid w:val="004972E3"/>
    <w:rsid w:val="004977BB"/>
    <w:rsid w:val="004B40E0"/>
    <w:rsid w:val="004D1414"/>
    <w:rsid w:val="004D2CAA"/>
    <w:rsid w:val="00513AB6"/>
    <w:rsid w:val="00520305"/>
    <w:rsid w:val="005256B1"/>
    <w:rsid w:val="00537CAD"/>
    <w:rsid w:val="00545264"/>
    <w:rsid w:val="00560B2C"/>
    <w:rsid w:val="005733C5"/>
    <w:rsid w:val="0057650F"/>
    <w:rsid w:val="005904A6"/>
    <w:rsid w:val="005910F1"/>
    <w:rsid w:val="005B16DC"/>
    <w:rsid w:val="005C7C20"/>
    <w:rsid w:val="005D1C42"/>
    <w:rsid w:val="00623756"/>
    <w:rsid w:val="00632E2E"/>
    <w:rsid w:val="00634A29"/>
    <w:rsid w:val="006508E8"/>
    <w:rsid w:val="00653842"/>
    <w:rsid w:val="006544B8"/>
    <w:rsid w:val="006649FD"/>
    <w:rsid w:val="0066502B"/>
    <w:rsid w:val="00667694"/>
    <w:rsid w:val="00672A49"/>
    <w:rsid w:val="00697716"/>
    <w:rsid w:val="006A1395"/>
    <w:rsid w:val="006B17A6"/>
    <w:rsid w:val="006C10DE"/>
    <w:rsid w:val="006E26AE"/>
    <w:rsid w:val="006E2A39"/>
    <w:rsid w:val="006F1DD4"/>
    <w:rsid w:val="007014E4"/>
    <w:rsid w:val="00713A8A"/>
    <w:rsid w:val="007308BA"/>
    <w:rsid w:val="0074032E"/>
    <w:rsid w:val="00740878"/>
    <w:rsid w:val="00754A4B"/>
    <w:rsid w:val="00774475"/>
    <w:rsid w:val="007777BA"/>
    <w:rsid w:val="007807AF"/>
    <w:rsid w:val="00780D55"/>
    <w:rsid w:val="0078225B"/>
    <w:rsid w:val="00794C8F"/>
    <w:rsid w:val="007A2971"/>
    <w:rsid w:val="007B2904"/>
    <w:rsid w:val="007E3B11"/>
    <w:rsid w:val="007E448A"/>
    <w:rsid w:val="00802B26"/>
    <w:rsid w:val="00806B4D"/>
    <w:rsid w:val="008126D1"/>
    <w:rsid w:val="00864E63"/>
    <w:rsid w:val="008735F5"/>
    <w:rsid w:val="00880B2D"/>
    <w:rsid w:val="0089463F"/>
    <w:rsid w:val="008B38DC"/>
    <w:rsid w:val="008D2A15"/>
    <w:rsid w:val="008D54F5"/>
    <w:rsid w:val="008F063A"/>
    <w:rsid w:val="008F70A5"/>
    <w:rsid w:val="00913941"/>
    <w:rsid w:val="0096210C"/>
    <w:rsid w:val="00982D7E"/>
    <w:rsid w:val="009956AC"/>
    <w:rsid w:val="009A0BCB"/>
    <w:rsid w:val="009C4C61"/>
    <w:rsid w:val="009D08C2"/>
    <w:rsid w:val="009E2EB1"/>
    <w:rsid w:val="009F3D96"/>
    <w:rsid w:val="00A014FD"/>
    <w:rsid w:val="00A0462C"/>
    <w:rsid w:val="00A15F7B"/>
    <w:rsid w:val="00A31649"/>
    <w:rsid w:val="00A32525"/>
    <w:rsid w:val="00A33F58"/>
    <w:rsid w:val="00A35057"/>
    <w:rsid w:val="00A52762"/>
    <w:rsid w:val="00A601FF"/>
    <w:rsid w:val="00A60794"/>
    <w:rsid w:val="00A678C4"/>
    <w:rsid w:val="00A75B05"/>
    <w:rsid w:val="00A8650F"/>
    <w:rsid w:val="00A96F6C"/>
    <w:rsid w:val="00AA0926"/>
    <w:rsid w:val="00AB46EF"/>
    <w:rsid w:val="00AC7F35"/>
    <w:rsid w:val="00AD5567"/>
    <w:rsid w:val="00AF0381"/>
    <w:rsid w:val="00B04612"/>
    <w:rsid w:val="00B13B93"/>
    <w:rsid w:val="00B1415E"/>
    <w:rsid w:val="00B23BFC"/>
    <w:rsid w:val="00B2646C"/>
    <w:rsid w:val="00B542C9"/>
    <w:rsid w:val="00B75CF9"/>
    <w:rsid w:val="00BA632A"/>
    <w:rsid w:val="00BD57A5"/>
    <w:rsid w:val="00BF5386"/>
    <w:rsid w:val="00C038A7"/>
    <w:rsid w:val="00C16D08"/>
    <w:rsid w:val="00C32346"/>
    <w:rsid w:val="00C500CC"/>
    <w:rsid w:val="00C7052D"/>
    <w:rsid w:val="00C915AA"/>
    <w:rsid w:val="00CA200F"/>
    <w:rsid w:val="00CA7121"/>
    <w:rsid w:val="00CC74C1"/>
    <w:rsid w:val="00CD0ED2"/>
    <w:rsid w:val="00D12DA9"/>
    <w:rsid w:val="00D25A1A"/>
    <w:rsid w:val="00D25D24"/>
    <w:rsid w:val="00D35B33"/>
    <w:rsid w:val="00D4236B"/>
    <w:rsid w:val="00D43EC9"/>
    <w:rsid w:val="00D91AB1"/>
    <w:rsid w:val="00D91EA2"/>
    <w:rsid w:val="00D963DE"/>
    <w:rsid w:val="00DC29ED"/>
    <w:rsid w:val="00DC6F03"/>
    <w:rsid w:val="00DD48F5"/>
    <w:rsid w:val="00DD60D5"/>
    <w:rsid w:val="00DE44EA"/>
    <w:rsid w:val="00E3024D"/>
    <w:rsid w:val="00E3351E"/>
    <w:rsid w:val="00E43467"/>
    <w:rsid w:val="00E4765F"/>
    <w:rsid w:val="00E532F9"/>
    <w:rsid w:val="00E56B39"/>
    <w:rsid w:val="00E62B11"/>
    <w:rsid w:val="00E67692"/>
    <w:rsid w:val="00E70425"/>
    <w:rsid w:val="00E7358B"/>
    <w:rsid w:val="00E9787C"/>
    <w:rsid w:val="00EA3CF8"/>
    <w:rsid w:val="00EA7885"/>
    <w:rsid w:val="00EC71BA"/>
    <w:rsid w:val="00ED76C5"/>
    <w:rsid w:val="00EE0505"/>
    <w:rsid w:val="00F2441E"/>
    <w:rsid w:val="00F3284E"/>
    <w:rsid w:val="00F3526B"/>
    <w:rsid w:val="00F37951"/>
    <w:rsid w:val="00F46DFD"/>
    <w:rsid w:val="00F50352"/>
    <w:rsid w:val="00F5777F"/>
    <w:rsid w:val="00F700A3"/>
    <w:rsid w:val="00F73FE3"/>
    <w:rsid w:val="00F9213D"/>
    <w:rsid w:val="00FA52A0"/>
    <w:rsid w:val="00FB2472"/>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0FE477F7"/>
    <w:rsid w:val="10042D03"/>
    <w:rsid w:val="10AC187D"/>
    <w:rsid w:val="10B50CF9"/>
    <w:rsid w:val="11164A09"/>
    <w:rsid w:val="113332F4"/>
    <w:rsid w:val="12141461"/>
    <w:rsid w:val="128D79C5"/>
    <w:rsid w:val="135C647E"/>
    <w:rsid w:val="138F2D8E"/>
    <w:rsid w:val="146450B4"/>
    <w:rsid w:val="14DC140F"/>
    <w:rsid w:val="15AF3A1E"/>
    <w:rsid w:val="162206F9"/>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9ED20CA"/>
    <w:rsid w:val="2A125D7A"/>
    <w:rsid w:val="2A2C17C3"/>
    <w:rsid w:val="2A950796"/>
    <w:rsid w:val="2AEC3A6C"/>
    <w:rsid w:val="2B0B7645"/>
    <w:rsid w:val="2B4D4C81"/>
    <w:rsid w:val="2B627CE5"/>
    <w:rsid w:val="2B927598"/>
    <w:rsid w:val="2BBC1C71"/>
    <w:rsid w:val="2CCA10EB"/>
    <w:rsid w:val="2D9B2140"/>
    <w:rsid w:val="2E0D090C"/>
    <w:rsid w:val="2E1E49D2"/>
    <w:rsid w:val="2E687337"/>
    <w:rsid w:val="2E8352AE"/>
    <w:rsid w:val="2E964FB4"/>
    <w:rsid w:val="2EBD3A04"/>
    <w:rsid w:val="2FB31765"/>
    <w:rsid w:val="311E3E1A"/>
    <w:rsid w:val="318571F2"/>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DC668B"/>
    <w:rsid w:val="3BF21089"/>
    <w:rsid w:val="3C19244A"/>
    <w:rsid w:val="3C2644E2"/>
    <w:rsid w:val="3C327705"/>
    <w:rsid w:val="3D0E6164"/>
    <w:rsid w:val="3D23337D"/>
    <w:rsid w:val="3D642C40"/>
    <w:rsid w:val="3D6F0E77"/>
    <w:rsid w:val="3D8516ED"/>
    <w:rsid w:val="3D8809E8"/>
    <w:rsid w:val="3DA60AC1"/>
    <w:rsid w:val="3E962080"/>
    <w:rsid w:val="3EF00F76"/>
    <w:rsid w:val="3EF85F15"/>
    <w:rsid w:val="3F881D36"/>
    <w:rsid w:val="3FBA71B5"/>
    <w:rsid w:val="3FE778B0"/>
    <w:rsid w:val="3FF912F0"/>
    <w:rsid w:val="4033061C"/>
    <w:rsid w:val="404472EF"/>
    <w:rsid w:val="40584728"/>
    <w:rsid w:val="406654B8"/>
    <w:rsid w:val="407152E9"/>
    <w:rsid w:val="40B01919"/>
    <w:rsid w:val="41072182"/>
    <w:rsid w:val="41197765"/>
    <w:rsid w:val="42BC428C"/>
    <w:rsid w:val="42C543B6"/>
    <w:rsid w:val="42F356FB"/>
    <w:rsid w:val="436E0E11"/>
    <w:rsid w:val="43AF45EC"/>
    <w:rsid w:val="43B36364"/>
    <w:rsid w:val="43D04E3B"/>
    <w:rsid w:val="43F0571B"/>
    <w:rsid w:val="442D54C7"/>
    <w:rsid w:val="443276D0"/>
    <w:rsid w:val="45330025"/>
    <w:rsid w:val="454B0C18"/>
    <w:rsid w:val="45746D11"/>
    <w:rsid w:val="459B05A9"/>
    <w:rsid w:val="459C3FF8"/>
    <w:rsid w:val="4668225B"/>
    <w:rsid w:val="46784AF4"/>
    <w:rsid w:val="46C4420A"/>
    <w:rsid w:val="47213D65"/>
    <w:rsid w:val="47C35689"/>
    <w:rsid w:val="48067F63"/>
    <w:rsid w:val="488254F2"/>
    <w:rsid w:val="492B2744"/>
    <w:rsid w:val="4A2679E4"/>
    <w:rsid w:val="4A441134"/>
    <w:rsid w:val="4A8F44D4"/>
    <w:rsid w:val="4BAE3F95"/>
    <w:rsid w:val="4BDD5E8F"/>
    <w:rsid w:val="4C6D5BFE"/>
    <w:rsid w:val="4D0877E5"/>
    <w:rsid w:val="4D3856A2"/>
    <w:rsid w:val="4DC15AB0"/>
    <w:rsid w:val="4E557A41"/>
    <w:rsid w:val="4E8E19DD"/>
    <w:rsid w:val="4F2D13E6"/>
    <w:rsid w:val="4F4B7BDF"/>
    <w:rsid w:val="4F6550FE"/>
    <w:rsid w:val="4FAB148C"/>
    <w:rsid w:val="4FD305C0"/>
    <w:rsid w:val="504109C4"/>
    <w:rsid w:val="50A30FED"/>
    <w:rsid w:val="517A7537"/>
    <w:rsid w:val="52931A80"/>
    <w:rsid w:val="52EF7F80"/>
    <w:rsid w:val="53162EBF"/>
    <w:rsid w:val="531F7214"/>
    <w:rsid w:val="53294DA7"/>
    <w:rsid w:val="539F06F6"/>
    <w:rsid w:val="53C52930"/>
    <w:rsid w:val="53F3371D"/>
    <w:rsid w:val="55402577"/>
    <w:rsid w:val="557268CB"/>
    <w:rsid w:val="557F54CF"/>
    <w:rsid w:val="563633CC"/>
    <w:rsid w:val="56AD04DA"/>
    <w:rsid w:val="57707B96"/>
    <w:rsid w:val="58166B87"/>
    <w:rsid w:val="5831776B"/>
    <w:rsid w:val="58805130"/>
    <w:rsid w:val="591F3C68"/>
    <w:rsid w:val="5A6904FC"/>
    <w:rsid w:val="5AB52129"/>
    <w:rsid w:val="5AEE077C"/>
    <w:rsid w:val="5B141DCF"/>
    <w:rsid w:val="5C260829"/>
    <w:rsid w:val="5C74035F"/>
    <w:rsid w:val="5CB35B44"/>
    <w:rsid w:val="5CC75760"/>
    <w:rsid w:val="5D5D27E4"/>
    <w:rsid w:val="5D6D3D15"/>
    <w:rsid w:val="5DDE685D"/>
    <w:rsid w:val="5E4E4BA9"/>
    <w:rsid w:val="5EA85862"/>
    <w:rsid w:val="5F8F55A6"/>
    <w:rsid w:val="5F9A63BC"/>
    <w:rsid w:val="600128F2"/>
    <w:rsid w:val="6016028E"/>
    <w:rsid w:val="608C3228"/>
    <w:rsid w:val="60E47391"/>
    <w:rsid w:val="60F163C0"/>
    <w:rsid w:val="61424350"/>
    <w:rsid w:val="615F74F3"/>
    <w:rsid w:val="62117210"/>
    <w:rsid w:val="63105411"/>
    <w:rsid w:val="635524F0"/>
    <w:rsid w:val="63930A69"/>
    <w:rsid w:val="63ED1B28"/>
    <w:rsid w:val="63FB54EC"/>
    <w:rsid w:val="64396433"/>
    <w:rsid w:val="64635A96"/>
    <w:rsid w:val="64B538AE"/>
    <w:rsid w:val="65DC6B71"/>
    <w:rsid w:val="66751E08"/>
    <w:rsid w:val="66921353"/>
    <w:rsid w:val="67440C25"/>
    <w:rsid w:val="67785E9F"/>
    <w:rsid w:val="679763D0"/>
    <w:rsid w:val="679A0ADF"/>
    <w:rsid w:val="67E57189"/>
    <w:rsid w:val="68140C16"/>
    <w:rsid w:val="682B564E"/>
    <w:rsid w:val="69485C83"/>
    <w:rsid w:val="6A1474D1"/>
    <w:rsid w:val="6A555DAE"/>
    <w:rsid w:val="6A776088"/>
    <w:rsid w:val="6AF558AB"/>
    <w:rsid w:val="6AFE521A"/>
    <w:rsid w:val="6BB87BEE"/>
    <w:rsid w:val="6C6248EB"/>
    <w:rsid w:val="6C8C2B0E"/>
    <w:rsid w:val="6CCD18D4"/>
    <w:rsid w:val="6D2711C7"/>
    <w:rsid w:val="6D3A0506"/>
    <w:rsid w:val="6D4D712A"/>
    <w:rsid w:val="6D7B0EC3"/>
    <w:rsid w:val="6D85393F"/>
    <w:rsid w:val="6E771A1F"/>
    <w:rsid w:val="6E8A1381"/>
    <w:rsid w:val="6EB95FEB"/>
    <w:rsid w:val="6EC26113"/>
    <w:rsid w:val="6F37533B"/>
    <w:rsid w:val="713D1137"/>
    <w:rsid w:val="717A7BF5"/>
    <w:rsid w:val="71A42BB0"/>
    <w:rsid w:val="71C77C63"/>
    <w:rsid w:val="71EF54EA"/>
    <w:rsid w:val="72216D92"/>
    <w:rsid w:val="723161F9"/>
    <w:rsid w:val="7268614E"/>
    <w:rsid w:val="72764000"/>
    <w:rsid w:val="72BC167A"/>
    <w:rsid w:val="737C74A9"/>
    <w:rsid w:val="73B0300C"/>
    <w:rsid w:val="73CF0D6B"/>
    <w:rsid w:val="742E42C6"/>
    <w:rsid w:val="74CF6B04"/>
    <w:rsid w:val="74ED460C"/>
    <w:rsid w:val="754C1C60"/>
    <w:rsid w:val="75553FEA"/>
    <w:rsid w:val="759F41A0"/>
    <w:rsid w:val="766A504B"/>
    <w:rsid w:val="76C5462E"/>
    <w:rsid w:val="76F4058F"/>
    <w:rsid w:val="77FA4B30"/>
    <w:rsid w:val="78253B0A"/>
    <w:rsid w:val="791A27EC"/>
    <w:rsid w:val="79222456"/>
    <w:rsid w:val="79234818"/>
    <w:rsid w:val="79F95B12"/>
    <w:rsid w:val="7A24552B"/>
    <w:rsid w:val="7A5A14E6"/>
    <w:rsid w:val="7A5C30CF"/>
    <w:rsid w:val="7AF218BF"/>
    <w:rsid w:val="7AFE1CDF"/>
    <w:rsid w:val="7B17127D"/>
    <w:rsid w:val="7B845B34"/>
    <w:rsid w:val="7BD13576"/>
    <w:rsid w:val="7C78205E"/>
    <w:rsid w:val="7CB208FA"/>
    <w:rsid w:val="7CFA60BC"/>
    <w:rsid w:val="7D663F18"/>
    <w:rsid w:val="7DAE71A9"/>
    <w:rsid w:val="7DEA2683"/>
    <w:rsid w:val="7EA24781"/>
    <w:rsid w:val="7F061673"/>
    <w:rsid w:val="7FF56808"/>
    <w:rsid w:val="7FFA66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0"/>
  </w:style>
  <w:style w:type="paragraph" w:styleId="3">
    <w:name w:val="Document Map"/>
    <w:basedOn w:val="1"/>
    <w:link w:val="20"/>
    <w:semiHidden/>
    <w:unhideWhenUsed/>
    <w:qFormat/>
    <w:uiPriority w:val="0"/>
    <w:rPr>
      <w:rFonts w:ascii="宋体"/>
      <w:sz w:val="18"/>
      <w:szCs w:val="18"/>
    </w:rPr>
  </w:style>
  <w:style w:type="paragraph" w:styleId="4">
    <w:name w:val="annotation text"/>
    <w:basedOn w:val="1"/>
    <w:link w:val="18"/>
    <w:unhideWhenUsed/>
    <w:qFormat/>
    <w:uiPriority w:val="0"/>
    <w:pPr>
      <w:jc w:val="left"/>
    </w:pPr>
  </w:style>
  <w:style w:type="paragraph" w:styleId="5">
    <w:name w:val="Balloon Text"/>
    <w:basedOn w:val="1"/>
    <w:link w:val="17"/>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9"/>
    <w:unhideWhenUsed/>
    <w:qFormat/>
    <w:uiPriority w:val="0"/>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7"/>
    <w:qFormat/>
    <w:uiPriority w:val="99"/>
    <w:rPr>
      <w:sz w:val="18"/>
      <w:szCs w:val="18"/>
    </w:rPr>
  </w:style>
  <w:style w:type="character" w:customStyle="1" w:styleId="16">
    <w:name w:val="页脚 字符"/>
    <w:link w:val="6"/>
    <w:qFormat/>
    <w:uiPriority w:val="99"/>
    <w:rPr>
      <w:sz w:val="18"/>
      <w:szCs w:val="18"/>
    </w:rPr>
  </w:style>
  <w:style w:type="character" w:customStyle="1" w:styleId="17">
    <w:name w:val="批注框文本 字符"/>
    <w:link w:val="5"/>
    <w:qFormat/>
    <w:uiPriority w:val="99"/>
    <w:rPr>
      <w:kern w:val="2"/>
      <w:sz w:val="18"/>
      <w:szCs w:val="18"/>
    </w:rPr>
  </w:style>
  <w:style w:type="character" w:customStyle="1" w:styleId="18">
    <w:name w:val="批注文字 字符"/>
    <w:link w:val="4"/>
    <w:qFormat/>
    <w:uiPriority w:val="0"/>
    <w:rPr>
      <w:kern w:val="2"/>
      <w:sz w:val="21"/>
      <w:szCs w:val="24"/>
    </w:rPr>
  </w:style>
  <w:style w:type="character" w:customStyle="1" w:styleId="19">
    <w:name w:val="批注主题 字符"/>
    <w:link w:val="8"/>
    <w:qFormat/>
    <w:uiPriority w:val="0"/>
    <w:rPr>
      <w:b/>
      <w:bCs/>
      <w:kern w:val="2"/>
      <w:sz w:val="21"/>
      <w:szCs w:val="24"/>
    </w:rPr>
  </w:style>
  <w:style w:type="character" w:customStyle="1" w:styleId="20">
    <w:name w:val="文档结构图 字符"/>
    <w:link w:val="3"/>
    <w:semiHidden/>
    <w:qFormat/>
    <w:uiPriority w:val="0"/>
    <w:rPr>
      <w:rFonts w:ascii="宋体"/>
      <w:kern w:val="2"/>
      <w:sz w:val="18"/>
      <w:szCs w:val="18"/>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CDE92-AA42-482A-B166-F00C57B67224}">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17</Pages>
  <Words>8042</Words>
  <Characters>8109</Characters>
  <Lines>59</Lines>
  <Paragraphs>16</Paragraphs>
  <TotalTime>1</TotalTime>
  <ScaleCrop>false</ScaleCrop>
  <LinksUpToDate>false</LinksUpToDate>
  <CharactersWithSpaces>8185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2017-07-14T03:24:00Z</dcterms:created>
  <dc:creator>sysun</dc:creator>
  <cp:lastModifiedBy>L.y</cp:lastModifiedBy>
  <cp:lastPrinted>2019-01-08T06:43:00Z</cp:lastPrinted>
  <dcterms:modified xsi:type="dcterms:W3CDTF">2025-10-28T03:48:36Z</dcterms:modified>
  <dc:title>中储粮山西分公司玉米竞价销售专场交易细则</dc:title>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D5F19863025844AABCF5BFC3A1B595F6</vt:lpwstr>
  </property>
  <property fmtid="{D5CDD505-2E9C-101B-9397-08002B2CF9AE}" pid="4" name="KSOTemplateDocerSaveRecord">
    <vt:lpwstr>eyJoZGlkIjoiODRkZDU3MmRlNGFjMjAyZjQwZDViODE4ZjQzNDA0NDkiLCJ1c2VySWQiOiI3MTI1NDIyMzgifQ==</vt:lpwstr>
  </property>
</Properties>
</file>