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3F14C4">
      <w:pPr>
        <w:widowControl/>
        <w:spacing w:after="75" w:line="360" w:lineRule="auto"/>
        <w:ind w:left="-360"/>
        <w:jc w:val="center"/>
        <w:rPr>
          <w:rFonts w:ascii="宋体" w:hAnsi="宋体" w:eastAsia="宋体" w:cs="宋体"/>
          <w:b/>
          <w:sz w:val="44"/>
          <w:szCs w:val="44"/>
          <w:shd w:val="clear" w:color="auto" w:fill="FFFFFF"/>
        </w:rPr>
      </w:pPr>
      <w:r>
        <w:rPr>
          <w:rFonts w:hint="eastAsia" w:ascii="宋体" w:hAnsi="宋体" w:eastAsia="宋体" w:cs="宋体"/>
          <w:b/>
          <w:sz w:val="44"/>
          <w:szCs w:val="44"/>
          <w:shd w:val="clear" w:color="auto" w:fill="FFFFFF"/>
        </w:rPr>
        <w:t>中储粮网</w:t>
      </w:r>
      <w:r>
        <w:rPr>
          <w:rFonts w:hint="eastAsia" w:ascii="宋体" w:hAnsi="宋体" w:eastAsia="宋体" w:cs="宋体"/>
          <w:b/>
          <w:sz w:val="44"/>
          <w:szCs w:val="44"/>
          <w:shd w:val="clear" w:color="auto" w:fill="FFFFFF"/>
          <w:lang w:val="en-US" w:eastAsia="zh-CN"/>
        </w:rPr>
        <w:t>联合油脂</w:t>
      </w:r>
      <w:r>
        <w:rPr>
          <w:rFonts w:hint="eastAsia" w:ascii="宋体" w:hAnsi="宋体" w:eastAsia="宋体" w:cs="宋体"/>
          <w:b/>
          <w:sz w:val="44"/>
          <w:szCs w:val="44"/>
          <w:shd w:val="clear" w:color="auto" w:fill="FFFFFF"/>
        </w:rPr>
        <w:t>物流服务竞价</w:t>
      </w:r>
    </w:p>
    <w:p w14:paraId="04BC2EB4">
      <w:pPr>
        <w:widowControl/>
        <w:spacing w:after="75" w:line="360" w:lineRule="auto"/>
        <w:ind w:left="-360"/>
        <w:jc w:val="center"/>
        <w:rPr>
          <w:rFonts w:ascii="宋体" w:hAnsi="宋体" w:eastAsia="宋体" w:cs="宋体"/>
          <w:b/>
          <w:sz w:val="44"/>
          <w:szCs w:val="44"/>
          <w:shd w:val="clear" w:color="auto" w:fill="FFFFFF"/>
        </w:rPr>
      </w:pPr>
      <w:r>
        <w:rPr>
          <w:rFonts w:hint="eastAsia" w:ascii="宋体" w:hAnsi="宋体" w:eastAsia="宋体" w:cs="宋体"/>
          <w:b/>
          <w:sz w:val="44"/>
          <w:szCs w:val="44"/>
          <w:shd w:val="clear" w:color="auto" w:fill="FFFFFF"/>
        </w:rPr>
        <w:t>专场交易细则</w:t>
      </w:r>
    </w:p>
    <w:p w14:paraId="328B7206">
      <w:pPr>
        <w:widowControl/>
        <w:spacing w:after="75" w:line="360" w:lineRule="auto"/>
        <w:ind w:left="-360"/>
        <w:jc w:val="center"/>
        <w:rPr>
          <w:rFonts w:ascii="宋体" w:hAnsi="宋体" w:eastAsia="宋体" w:cs="宋体"/>
          <w:b/>
          <w:sz w:val="44"/>
          <w:szCs w:val="44"/>
          <w:shd w:val="clear" w:color="auto" w:fill="FFFFFF"/>
        </w:rPr>
      </w:pPr>
      <w:r>
        <w:rPr>
          <w:rFonts w:hint="eastAsia" w:ascii="宋体" w:hAnsi="宋体" w:eastAsia="宋体" w:cs="宋体"/>
          <w:b/>
          <w:sz w:val="44"/>
          <w:szCs w:val="44"/>
          <w:shd w:val="clear" w:color="auto" w:fill="FFFFFF"/>
        </w:rPr>
        <w:t>（</w:t>
      </w:r>
      <w:r>
        <w:rPr>
          <w:rFonts w:ascii="宋体" w:hAnsi="宋体" w:eastAsia="宋体" w:cs="宋体"/>
          <w:b/>
          <w:sz w:val="44"/>
          <w:szCs w:val="44"/>
          <w:shd w:val="clear" w:color="auto" w:fill="FFFFFF"/>
        </w:rPr>
        <w:t>2024年</w:t>
      </w:r>
      <w:r>
        <w:rPr>
          <w:rFonts w:hint="eastAsia" w:ascii="宋体" w:hAnsi="宋体" w:eastAsia="宋体" w:cs="宋体"/>
          <w:b/>
          <w:sz w:val="44"/>
          <w:szCs w:val="44"/>
          <w:shd w:val="clear" w:color="auto" w:fill="FFFFFF"/>
          <w:lang w:val="en-US" w:eastAsia="zh-CN"/>
        </w:rPr>
        <w:t>8</w:t>
      </w:r>
      <w:r>
        <w:rPr>
          <w:rFonts w:ascii="宋体" w:hAnsi="宋体" w:eastAsia="宋体" w:cs="宋体"/>
          <w:b/>
          <w:sz w:val="44"/>
          <w:szCs w:val="44"/>
          <w:shd w:val="clear" w:color="auto" w:fill="FFFFFF"/>
        </w:rPr>
        <w:t>月</w:t>
      </w:r>
      <w:r>
        <w:rPr>
          <w:rFonts w:hint="eastAsia" w:ascii="宋体" w:hAnsi="宋体" w:eastAsia="宋体" w:cs="宋体"/>
          <w:b/>
          <w:sz w:val="44"/>
          <w:szCs w:val="44"/>
          <w:shd w:val="clear" w:color="auto" w:fill="FFFFFF"/>
          <w:lang w:val="en-US" w:eastAsia="zh-CN"/>
        </w:rPr>
        <w:t>9</w:t>
      </w:r>
      <w:r>
        <w:rPr>
          <w:rFonts w:ascii="宋体" w:hAnsi="宋体" w:eastAsia="宋体" w:cs="宋体"/>
          <w:b/>
          <w:sz w:val="44"/>
          <w:szCs w:val="44"/>
          <w:shd w:val="clear" w:color="auto" w:fill="FFFFFF"/>
        </w:rPr>
        <w:t>日</w:t>
      </w:r>
      <w:r>
        <w:rPr>
          <w:rFonts w:hint="eastAsia" w:ascii="宋体" w:hAnsi="宋体" w:eastAsia="宋体" w:cs="宋体"/>
          <w:b/>
          <w:sz w:val="44"/>
          <w:szCs w:val="44"/>
          <w:shd w:val="clear" w:color="auto" w:fill="FFFFFF"/>
        </w:rPr>
        <w:t>试行）</w:t>
      </w:r>
    </w:p>
    <w:p w14:paraId="66FB8785">
      <w:pPr>
        <w:spacing w:line="360" w:lineRule="auto"/>
        <w:rPr>
          <w:rFonts w:ascii="仿宋_GB2312" w:hAnsi="Times New Roman" w:eastAsia="仿宋_GB2312" w:cs="Times New Roman"/>
          <w:szCs w:val="24"/>
        </w:rPr>
      </w:pPr>
    </w:p>
    <w:p w14:paraId="65244615">
      <w:pPr>
        <w:spacing w:line="360" w:lineRule="auto"/>
        <w:jc w:val="center"/>
        <w:rPr>
          <w:rFonts w:ascii="黑体" w:hAnsi="黑体" w:eastAsia="黑体" w:cs="Times New Roman"/>
          <w:sz w:val="32"/>
          <w:szCs w:val="32"/>
        </w:rPr>
      </w:pPr>
      <w:bookmarkStart w:id="2" w:name="_GoBack"/>
      <w:bookmarkEnd w:id="2"/>
    </w:p>
    <w:p w14:paraId="53B0B521">
      <w:pPr>
        <w:spacing w:line="360" w:lineRule="auto"/>
        <w:jc w:val="center"/>
        <w:rPr>
          <w:rFonts w:ascii="黑体" w:hAnsi="黑体" w:eastAsia="黑体" w:cs="Times New Roman"/>
          <w:sz w:val="32"/>
          <w:szCs w:val="32"/>
        </w:rPr>
      </w:pPr>
      <w:r>
        <w:rPr>
          <w:rFonts w:hint="eastAsia" w:ascii="黑体" w:hAnsi="黑体" w:eastAsia="黑体" w:cs="Times New Roman"/>
          <w:sz w:val="32"/>
          <w:szCs w:val="32"/>
        </w:rPr>
        <w:t>第一章 总则</w:t>
      </w:r>
    </w:p>
    <w:p w14:paraId="0DBDB0C5">
      <w:pPr>
        <w:tabs>
          <w:tab w:val="left" w:pos="-180"/>
          <w:tab w:val="left" w:pos="1303"/>
        </w:tabs>
        <w:spacing w:line="360" w:lineRule="auto"/>
        <w:ind w:firstLine="602" w:firstLineChars="200"/>
        <w:rPr>
          <w:rFonts w:ascii="仿宋_GB2312" w:hAnsi="Times New Roman" w:eastAsia="仿宋_GB2312" w:cs="Times New Roman"/>
          <w:sz w:val="30"/>
          <w:szCs w:val="30"/>
        </w:rPr>
      </w:pPr>
      <w:r>
        <w:rPr>
          <w:rFonts w:hint="eastAsia" w:ascii="仿宋_GB2312" w:hAnsi="Times New Roman" w:eastAsia="仿宋_GB2312" w:cs="Times New Roman"/>
          <w:b/>
          <w:bCs/>
          <w:sz w:val="30"/>
          <w:szCs w:val="30"/>
        </w:rPr>
        <w:t>第一条</w:t>
      </w:r>
      <w:r>
        <w:rPr>
          <w:rFonts w:hint="eastAsia" w:ascii="仿宋_GB2312" w:hAnsi="Times New Roman" w:eastAsia="仿宋_GB2312" w:cs="Times New Roman"/>
          <w:sz w:val="30"/>
          <w:szCs w:val="30"/>
        </w:rPr>
        <w:t xml:space="preserve"> 为保障中储粮网物流服务业务的顺利开展，规范中储粮网交易行为，维护中储粮网会员的合法权益和社会公共利益，根据国家有关法律、法规及相关政策文件，特制定本交易细则（以下简称“本细则”）。</w:t>
      </w:r>
    </w:p>
    <w:p w14:paraId="6471F507">
      <w:pPr>
        <w:tabs>
          <w:tab w:val="left" w:pos="-180"/>
          <w:tab w:val="left" w:pos="1303"/>
        </w:tabs>
        <w:spacing w:line="360" w:lineRule="auto"/>
        <w:ind w:firstLine="602" w:firstLineChars="200"/>
        <w:rPr>
          <w:rFonts w:ascii="仿宋_GB2312" w:hAnsi="Times New Roman" w:eastAsia="仿宋_GB2312" w:cs="Times New Roman"/>
          <w:sz w:val="30"/>
          <w:szCs w:val="30"/>
        </w:rPr>
      </w:pPr>
      <w:r>
        <w:rPr>
          <w:rFonts w:hint="eastAsia" w:ascii="仿宋_GB2312" w:hAnsi="Times New Roman" w:eastAsia="仿宋_GB2312" w:cs="Times New Roman"/>
          <w:b/>
          <w:bCs/>
          <w:sz w:val="30"/>
          <w:szCs w:val="30"/>
        </w:rPr>
        <w:t>第二条</w:t>
      </w:r>
      <w:r>
        <w:rPr>
          <w:rFonts w:hint="eastAsia" w:ascii="仿宋_GB2312" w:hAnsi="Times New Roman" w:eastAsia="仿宋_GB2312" w:cs="Times New Roman"/>
          <w:sz w:val="30"/>
          <w:szCs w:val="30"/>
        </w:rPr>
        <w:t xml:space="preserve"> 中储粮网遵循“诚信、公正、法治”的原则，通过“互联网+”开展电子交易，构建粮油行业先进、高效、经济、安全的电子交易网站。中储粮网物流服务竞价专场交易（“竞价交易”）目前仅开放给物流交易会员使用，非中储粮网物流交易会员暂不享受该等竞价交易服务。</w:t>
      </w:r>
    </w:p>
    <w:p w14:paraId="0FD91A2F">
      <w:pPr>
        <w:tabs>
          <w:tab w:val="left" w:pos="-180"/>
          <w:tab w:val="left" w:pos="1303"/>
        </w:tabs>
        <w:spacing w:line="360" w:lineRule="auto"/>
        <w:ind w:firstLine="602" w:firstLineChars="200"/>
        <w:rPr>
          <w:rFonts w:ascii="仿宋_GB2312" w:hAnsi="Times New Roman" w:eastAsia="仿宋_GB2312" w:cs="Times New Roman"/>
          <w:sz w:val="30"/>
          <w:szCs w:val="30"/>
        </w:rPr>
      </w:pPr>
      <w:r>
        <w:rPr>
          <w:rFonts w:hint="eastAsia" w:ascii="仿宋_GB2312" w:hAnsi="Times New Roman" w:eastAsia="仿宋_GB2312" w:cs="Times New Roman"/>
          <w:b/>
          <w:bCs/>
          <w:sz w:val="30"/>
          <w:szCs w:val="30"/>
        </w:rPr>
        <w:t>第三条</w:t>
      </w:r>
      <w:r>
        <w:rPr>
          <w:rFonts w:hint="eastAsia" w:ascii="仿宋_GB2312" w:hAnsi="Times New Roman" w:eastAsia="仿宋_GB2312" w:cs="Times New Roman"/>
          <w:sz w:val="30"/>
          <w:szCs w:val="30"/>
        </w:rPr>
        <w:t xml:space="preserve"> 中储粮网实行会员制管理。中储粮网会员在入市交易前必须充分并准确理解本细则，在入市交易后必须严格遵守本细则。上线交易的中储粮网会员视同已接受本细则的所有条款并受其约束。</w:t>
      </w:r>
    </w:p>
    <w:p w14:paraId="6593ED16">
      <w:pPr>
        <w:tabs>
          <w:tab w:val="left" w:pos="-180"/>
          <w:tab w:val="left" w:pos="1303"/>
        </w:tabs>
        <w:spacing w:line="360" w:lineRule="auto"/>
        <w:ind w:firstLine="602" w:firstLineChars="200"/>
        <w:rPr>
          <w:rFonts w:ascii="仿宋_GB2312" w:hAnsi="Times New Roman" w:eastAsia="仿宋_GB2312" w:cs="Times New Roman"/>
          <w:sz w:val="30"/>
          <w:szCs w:val="30"/>
        </w:rPr>
      </w:pPr>
      <w:r>
        <w:rPr>
          <w:rFonts w:hint="eastAsia" w:ascii="仿宋_GB2312" w:hAnsi="Times New Roman" w:eastAsia="仿宋_GB2312" w:cs="Times New Roman"/>
          <w:b/>
          <w:bCs/>
          <w:sz w:val="30"/>
          <w:szCs w:val="30"/>
        </w:rPr>
        <w:t>第四条</w:t>
      </w:r>
      <w:r>
        <w:rPr>
          <w:rFonts w:hint="eastAsia" w:ascii="仿宋_GB2312" w:hAnsi="Times New Roman" w:eastAsia="仿宋_GB2312" w:cs="Times New Roman"/>
          <w:sz w:val="30"/>
          <w:szCs w:val="30"/>
        </w:rPr>
        <w:t xml:space="preserve"> 交易模式。此批竞价交易受</w:t>
      </w:r>
      <w:r>
        <w:rPr>
          <w:rFonts w:hint="eastAsia" w:ascii="仿宋_GB2312" w:hAnsi="Times New Roman" w:eastAsia="仿宋_GB2312" w:cs="Times New Roman"/>
          <w:sz w:val="30"/>
          <w:szCs w:val="30"/>
          <w:lang w:val="en-US" w:eastAsia="zh-CN"/>
        </w:rPr>
        <w:t>中企联合油脂有限公司</w:t>
      </w:r>
      <w:r>
        <w:rPr>
          <w:rFonts w:hint="eastAsia" w:ascii="仿宋_GB2312" w:hAnsi="Times New Roman" w:eastAsia="仿宋_GB2312" w:cs="Times New Roman"/>
          <w:sz w:val="30"/>
          <w:szCs w:val="30"/>
        </w:rPr>
        <w:t>委托，采取网上竞价交易。</w:t>
      </w:r>
    </w:p>
    <w:p w14:paraId="24D5D483">
      <w:pPr>
        <w:tabs>
          <w:tab w:val="left" w:pos="-180"/>
          <w:tab w:val="left" w:pos="1303"/>
        </w:tabs>
        <w:spacing w:line="360" w:lineRule="auto"/>
        <w:ind w:firstLine="602" w:firstLineChars="200"/>
        <w:rPr>
          <w:rFonts w:ascii="仿宋_GB2312" w:hAnsi="Times New Roman" w:eastAsia="仿宋_GB2312" w:cs="Times New Roman"/>
          <w:sz w:val="30"/>
          <w:szCs w:val="30"/>
        </w:rPr>
      </w:pPr>
      <w:r>
        <w:rPr>
          <w:rFonts w:hint="eastAsia" w:ascii="仿宋_GB2312" w:hAnsi="Times New Roman" w:eastAsia="仿宋_GB2312" w:cs="Times New Roman"/>
          <w:b/>
          <w:bCs/>
          <w:sz w:val="30"/>
          <w:szCs w:val="30"/>
        </w:rPr>
        <w:t>第五条</w:t>
      </w:r>
      <w:r>
        <w:rPr>
          <w:rFonts w:hint="eastAsia" w:ascii="仿宋_GB2312" w:hAnsi="Times New Roman" w:eastAsia="仿宋_GB2312" w:cs="Times New Roman"/>
          <w:sz w:val="30"/>
          <w:szCs w:val="30"/>
        </w:rPr>
        <w:t xml:space="preserve"> 中储粮网的交易信息和标的物，仅限于符合国家相关行业规定的产品。</w:t>
      </w:r>
    </w:p>
    <w:p w14:paraId="2BDDF524">
      <w:pPr>
        <w:tabs>
          <w:tab w:val="left" w:pos="-180"/>
          <w:tab w:val="left" w:pos="1303"/>
        </w:tabs>
        <w:spacing w:line="360" w:lineRule="auto"/>
        <w:ind w:firstLine="602" w:firstLineChars="200"/>
        <w:rPr>
          <w:rFonts w:ascii="仿宋_GB2312" w:hAnsi="Times New Roman" w:eastAsia="仿宋_GB2312" w:cs="Times New Roman"/>
          <w:sz w:val="30"/>
          <w:szCs w:val="30"/>
        </w:rPr>
      </w:pPr>
      <w:r>
        <w:rPr>
          <w:rFonts w:hint="eastAsia" w:ascii="仿宋_GB2312" w:hAnsi="Times New Roman" w:eastAsia="仿宋_GB2312" w:cs="Times New Roman"/>
          <w:b/>
          <w:bCs/>
          <w:sz w:val="30"/>
          <w:szCs w:val="30"/>
        </w:rPr>
        <w:t>第六条</w:t>
      </w:r>
      <w:r>
        <w:rPr>
          <w:rFonts w:hint="eastAsia" w:ascii="仿宋_GB2312" w:hAnsi="Times New Roman" w:eastAsia="仿宋_GB2312" w:cs="Times New Roman"/>
          <w:sz w:val="30"/>
          <w:szCs w:val="30"/>
        </w:rPr>
        <w:t xml:space="preserve"> 中储粮网会员之间非在中储粮网交易或服务中产生的及/或与成交标的物无关的其它任何协议,均与中储粮网无关。</w:t>
      </w:r>
    </w:p>
    <w:p w14:paraId="798DD852">
      <w:pPr>
        <w:tabs>
          <w:tab w:val="left" w:pos="-180"/>
          <w:tab w:val="left" w:pos="1303"/>
        </w:tabs>
        <w:spacing w:line="360" w:lineRule="auto"/>
        <w:ind w:firstLine="602" w:firstLineChars="200"/>
        <w:rPr>
          <w:rFonts w:ascii="仿宋_GB2312" w:hAnsi="Times New Roman" w:eastAsia="仿宋_GB2312" w:cs="Times New Roman"/>
          <w:sz w:val="30"/>
          <w:szCs w:val="30"/>
        </w:rPr>
      </w:pPr>
      <w:r>
        <w:rPr>
          <w:rFonts w:hint="eastAsia" w:ascii="仿宋_GB2312" w:hAnsi="Times New Roman" w:eastAsia="仿宋_GB2312" w:cs="Times New Roman"/>
          <w:b/>
          <w:bCs/>
          <w:sz w:val="30"/>
          <w:szCs w:val="30"/>
        </w:rPr>
        <w:t>第七条</w:t>
      </w:r>
      <w:r>
        <w:rPr>
          <w:rFonts w:hint="eastAsia" w:ascii="仿宋_GB2312" w:hAnsi="Times New Roman" w:eastAsia="仿宋_GB2312" w:cs="Times New Roman"/>
          <w:sz w:val="30"/>
          <w:szCs w:val="30"/>
        </w:rPr>
        <w:t xml:space="preserve"> </w:t>
      </w:r>
      <w:r>
        <w:rPr>
          <w:rFonts w:hint="eastAsia" w:ascii="仿宋_GB2312" w:hAnsi="Times New Roman" w:eastAsia="仿宋_GB2312" w:cs="Times New Roman"/>
          <w:sz w:val="30"/>
          <w:szCs w:val="30"/>
          <w:lang w:val="en-US" w:eastAsia="zh-CN"/>
        </w:rPr>
        <w:t>中储粮（雄安）粮油交易中心有限公司</w:t>
      </w:r>
      <w:r>
        <w:rPr>
          <w:rFonts w:hint="eastAsia" w:ascii="仿宋_GB2312" w:hAnsi="Times New Roman" w:eastAsia="仿宋_GB2312" w:cs="Times New Roman"/>
          <w:sz w:val="30"/>
          <w:szCs w:val="30"/>
        </w:rPr>
        <w:t>（以下简称“</w:t>
      </w:r>
      <w:r>
        <w:rPr>
          <w:rFonts w:hint="eastAsia" w:ascii="仿宋_GB2312" w:hAnsi="Times New Roman" w:eastAsia="仿宋_GB2312" w:cs="Times New Roman"/>
          <w:sz w:val="30"/>
          <w:szCs w:val="30"/>
          <w:lang w:val="en-US" w:eastAsia="zh-CN"/>
        </w:rPr>
        <w:t>交易中心</w:t>
      </w:r>
      <w:r>
        <w:rPr>
          <w:rFonts w:hint="eastAsia" w:ascii="仿宋_GB2312" w:hAnsi="Times New Roman" w:eastAsia="仿宋_GB2312" w:cs="Times New Roman"/>
          <w:sz w:val="30"/>
          <w:szCs w:val="30"/>
        </w:rPr>
        <w:t>”）具体负责中储粮网的建设和日常运营。</w:t>
      </w:r>
    </w:p>
    <w:p w14:paraId="544721DC">
      <w:pPr>
        <w:tabs>
          <w:tab w:val="left" w:pos="-180"/>
        </w:tabs>
        <w:spacing w:line="360" w:lineRule="auto"/>
        <w:ind w:firstLine="600" w:firstLineChars="200"/>
        <w:rPr>
          <w:rFonts w:ascii="黑体" w:hAnsi="黑体" w:eastAsia="黑体" w:cs="Times New Roman"/>
          <w:sz w:val="30"/>
          <w:szCs w:val="30"/>
        </w:rPr>
      </w:pPr>
    </w:p>
    <w:p w14:paraId="3A41120C">
      <w:pPr>
        <w:tabs>
          <w:tab w:val="left" w:pos="-180"/>
        </w:tabs>
        <w:spacing w:line="360" w:lineRule="auto"/>
        <w:jc w:val="center"/>
        <w:rPr>
          <w:rFonts w:ascii="黑体" w:hAnsi="黑体" w:eastAsia="黑体" w:cs="Times New Roman"/>
          <w:sz w:val="32"/>
          <w:szCs w:val="32"/>
        </w:rPr>
      </w:pPr>
      <w:r>
        <w:rPr>
          <w:rFonts w:hint="eastAsia" w:ascii="黑体" w:hAnsi="黑体" w:eastAsia="黑体" w:cs="Times New Roman"/>
          <w:sz w:val="32"/>
          <w:szCs w:val="32"/>
        </w:rPr>
        <w:t>第二章 中储粮网会员管理</w:t>
      </w:r>
    </w:p>
    <w:p w14:paraId="31E15F04">
      <w:pPr>
        <w:tabs>
          <w:tab w:val="left" w:pos="-180"/>
          <w:tab w:val="left" w:pos="1303"/>
        </w:tabs>
        <w:spacing w:line="360" w:lineRule="auto"/>
        <w:ind w:firstLine="602" w:firstLineChars="200"/>
        <w:rPr>
          <w:rFonts w:ascii="仿宋_GB2312" w:hAnsi="Times New Roman" w:eastAsia="仿宋_GB2312" w:cs="Times New Roman"/>
          <w:sz w:val="30"/>
          <w:szCs w:val="30"/>
        </w:rPr>
      </w:pPr>
      <w:r>
        <w:rPr>
          <w:rFonts w:hint="eastAsia" w:ascii="仿宋_GB2312" w:hAnsi="Times New Roman" w:eastAsia="仿宋_GB2312" w:cs="Times New Roman"/>
          <w:b/>
          <w:bCs/>
          <w:sz w:val="30"/>
          <w:szCs w:val="30"/>
        </w:rPr>
        <w:t>第八条</w:t>
      </w:r>
      <w:r>
        <w:rPr>
          <w:rFonts w:hint="eastAsia" w:ascii="仿宋_GB2312" w:hAnsi="Times New Roman" w:eastAsia="仿宋_GB2312" w:cs="Times New Roman"/>
          <w:sz w:val="30"/>
          <w:szCs w:val="30"/>
        </w:rPr>
        <w:t xml:space="preserve"> 中储粮网会员指根据国家有关法律、法规及</w:t>
      </w:r>
      <w:r>
        <w:rPr>
          <w:rFonts w:hint="eastAsia" w:ascii="仿宋_GB2312" w:hAnsi="Times New Roman" w:eastAsia="仿宋_GB2312" w:cs="Times New Roman"/>
          <w:sz w:val="30"/>
          <w:szCs w:val="30"/>
          <w:lang w:eastAsia="zh-CN"/>
        </w:rPr>
        <w:t>交易中心</w:t>
      </w:r>
      <w:r>
        <w:rPr>
          <w:rFonts w:hint="eastAsia" w:ascii="仿宋_GB2312" w:hAnsi="Times New Roman" w:eastAsia="仿宋_GB2312" w:cs="Times New Roman"/>
          <w:sz w:val="30"/>
          <w:szCs w:val="30"/>
        </w:rPr>
        <w:t>有关章程的规定，经</w:t>
      </w:r>
      <w:r>
        <w:rPr>
          <w:rFonts w:hint="eastAsia" w:ascii="仿宋_GB2312" w:hAnsi="Times New Roman" w:eastAsia="仿宋_GB2312" w:cs="Times New Roman"/>
          <w:sz w:val="30"/>
          <w:szCs w:val="30"/>
          <w:lang w:eastAsia="zh-CN"/>
        </w:rPr>
        <w:t>交易中心</w:t>
      </w:r>
      <w:r>
        <w:rPr>
          <w:rFonts w:hint="eastAsia" w:ascii="仿宋_GB2312" w:hAnsi="Times New Roman" w:eastAsia="仿宋_GB2312" w:cs="Times New Roman"/>
          <w:sz w:val="30"/>
          <w:szCs w:val="30"/>
        </w:rPr>
        <w:t>审核批准，在中储粮网进行电子商务活动的企业法人或者其他经济组织等。中储粮网会员实行会员资格年审制。</w:t>
      </w:r>
    </w:p>
    <w:p w14:paraId="2DDC7271">
      <w:pPr>
        <w:tabs>
          <w:tab w:val="left" w:pos="-180"/>
          <w:tab w:val="left" w:pos="1303"/>
        </w:tabs>
        <w:spacing w:line="360" w:lineRule="auto"/>
        <w:ind w:firstLine="602" w:firstLineChars="200"/>
        <w:rPr>
          <w:rFonts w:ascii="仿宋_GB2312" w:hAnsi="Times New Roman" w:eastAsia="仿宋_GB2312" w:cs="Times New Roman"/>
          <w:sz w:val="30"/>
          <w:szCs w:val="30"/>
        </w:rPr>
      </w:pPr>
      <w:r>
        <w:rPr>
          <w:rFonts w:hint="eastAsia" w:ascii="仿宋_GB2312" w:hAnsi="Times New Roman" w:eastAsia="仿宋_GB2312" w:cs="Times New Roman"/>
          <w:b/>
          <w:bCs/>
          <w:sz w:val="30"/>
          <w:szCs w:val="30"/>
        </w:rPr>
        <w:t>第九条</w:t>
      </w:r>
      <w:r>
        <w:rPr>
          <w:rFonts w:hint="eastAsia" w:ascii="仿宋_GB2312" w:hAnsi="Times New Roman" w:eastAsia="仿宋_GB2312" w:cs="Times New Roman"/>
          <w:sz w:val="30"/>
          <w:szCs w:val="30"/>
        </w:rPr>
        <w:t xml:space="preserve"> 会员注册流程</w:t>
      </w:r>
    </w:p>
    <w:p w14:paraId="6DDD8C68">
      <w:pPr>
        <w:tabs>
          <w:tab w:val="left" w:pos="-180"/>
          <w:tab w:val="left" w:pos="1303"/>
        </w:tabs>
        <w:spacing w:line="360" w:lineRule="auto"/>
        <w:ind w:firstLine="600" w:firstLineChars="200"/>
        <w:rPr>
          <w:rFonts w:ascii="仿宋_GB2312" w:hAnsi="Times New Roman" w:eastAsia="仿宋_GB2312" w:cs="Times New Roman"/>
          <w:sz w:val="30"/>
          <w:szCs w:val="30"/>
        </w:rPr>
      </w:pPr>
      <w:r>
        <w:rPr>
          <w:rFonts w:hint="eastAsia" w:ascii="仿宋_GB2312" w:hAnsi="Times New Roman" w:eastAsia="仿宋_GB2312" w:cs="Times New Roman"/>
          <w:sz w:val="30"/>
          <w:szCs w:val="30"/>
        </w:rPr>
        <w:t>申请注册会员的企业，需向中储粮网提交下列资料：</w:t>
      </w:r>
    </w:p>
    <w:p w14:paraId="7D8F8529">
      <w:pPr>
        <w:spacing w:line="360" w:lineRule="auto"/>
        <w:ind w:firstLine="600" w:firstLineChars="200"/>
        <w:rPr>
          <w:rFonts w:ascii="仿宋_GB2312" w:hAnsi="Times New Roman" w:eastAsia="仿宋_GB2312" w:cs="仿宋_GB2312"/>
          <w:sz w:val="30"/>
          <w:szCs w:val="30"/>
          <w:lang w:bidi="ar"/>
        </w:rPr>
      </w:pPr>
      <w:r>
        <w:rPr>
          <w:rFonts w:hint="eastAsia" w:ascii="仿宋_GB2312" w:hAnsi="Times New Roman" w:eastAsia="仿宋_GB2312" w:cs="仿宋_GB2312"/>
          <w:sz w:val="30"/>
          <w:szCs w:val="30"/>
          <w:lang w:bidi="ar"/>
        </w:rPr>
        <w:t>（一）在中储粮网站登录界面点击“注册”，必须仔细阅读《中储粮网电子商务平台会员入市协议》《</w:t>
      </w:r>
      <w:r>
        <w:rPr>
          <w:rFonts w:ascii="仿宋_GB2312" w:hAnsi="Times New Roman" w:eastAsia="仿宋_GB2312" w:cs="仿宋_GB2312"/>
          <w:sz w:val="30"/>
          <w:szCs w:val="30"/>
          <w:lang w:bidi="ar"/>
        </w:rPr>
        <w:t>中储粮网线上交易参与方须知</w:t>
      </w:r>
      <w:r>
        <w:rPr>
          <w:rFonts w:hint="eastAsia" w:ascii="仿宋_GB2312" w:hAnsi="Times New Roman" w:eastAsia="仿宋_GB2312" w:cs="仿宋_GB2312"/>
          <w:sz w:val="30"/>
          <w:szCs w:val="30"/>
          <w:lang w:bidi="ar"/>
        </w:rPr>
        <w:t>确认</w:t>
      </w:r>
      <w:r>
        <w:rPr>
          <w:rFonts w:ascii="仿宋_GB2312" w:hAnsi="Times New Roman" w:eastAsia="仿宋_GB2312" w:cs="仿宋_GB2312"/>
          <w:sz w:val="30"/>
          <w:szCs w:val="30"/>
          <w:lang w:bidi="ar"/>
        </w:rPr>
        <w:t>书</w:t>
      </w:r>
      <w:r>
        <w:rPr>
          <w:rFonts w:hint="eastAsia" w:ascii="仿宋_GB2312" w:hAnsi="Times New Roman" w:eastAsia="仿宋_GB2312" w:cs="仿宋_GB2312"/>
          <w:sz w:val="30"/>
          <w:szCs w:val="30"/>
          <w:lang w:bidi="ar"/>
        </w:rPr>
        <w:t>》，同意并接受后，方能进行正式注册，并按照注册流程，选择需参与的业务类型（粮食交易或物流运输），在线填写会员信息。</w:t>
      </w:r>
    </w:p>
    <w:p w14:paraId="0F49846F">
      <w:pPr>
        <w:spacing w:line="360" w:lineRule="auto"/>
        <w:ind w:firstLine="600" w:firstLineChars="200"/>
        <w:rPr>
          <w:rFonts w:ascii="仿宋_GB2312" w:hAnsi="Times New Roman" w:eastAsia="仿宋_GB2312" w:cs="Times New Roman"/>
          <w:sz w:val="30"/>
          <w:szCs w:val="30"/>
        </w:rPr>
      </w:pPr>
      <w:r>
        <w:rPr>
          <w:rFonts w:hint="eastAsia" w:ascii="仿宋_GB2312" w:hAnsi="Times New Roman" w:eastAsia="仿宋_GB2312" w:cs="仿宋_GB2312"/>
          <w:sz w:val="30"/>
          <w:szCs w:val="30"/>
        </w:rPr>
        <w:t>（二）</w:t>
      </w:r>
      <w:r>
        <w:rPr>
          <w:rFonts w:hint="eastAsia" w:ascii="仿宋_GB2312" w:hAnsi="Times New Roman" w:eastAsia="仿宋_GB2312" w:cs="Times New Roman"/>
          <w:sz w:val="30"/>
          <w:szCs w:val="30"/>
        </w:rPr>
        <w:t>下载、打印《中储粮网会员注册申请表》、《承诺函》</w:t>
      </w:r>
      <w:r>
        <w:rPr>
          <w:rFonts w:hint="eastAsia" w:ascii="仿宋_GB2312" w:hAnsi="Times New Roman" w:eastAsia="仿宋_GB2312" w:cs="仿宋_GB2312"/>
          <w:sz w:val="30"/>
          <w:szCs w:val="30"/>
        </w:rPr>
        <w:t>和《</w:t>
      </w:r>
      <w:r>
        <w:rPr>
          <w:rFonts w:ascii="仿宋_GB2312" w:hAnsi="Times New Roman" w:eastAsia="仿宋_GB2312" w:cs="仿宋_GB2312"/>
          <w:sz w:val="30"/>
          <w:szCs w:val="30"/>
        </w:rPr>
        <w:t>中储粮网线上交易参与方须知</w:t>
      </w:r>
      <w:r>
        <w:rPr>
          <w:rFonts w:hint="eastAsia" w:ascii="仿宋_GB2312" w:hAnsi="Times New Roman" w:eastAsia="仿宋_GB2312" w:cs="仿宋_GB2312"/>
          <w:sz w:val="30"/>
          <w:szCs w:val="30"/>
        </w:rPr>
        <w:t>确认</w:t>
      </w:r>
      <w:r>
        <w:rPr>
          <w:rFonts w:ascii="仿宋_GB2312" w:hAnsi="Times New Roman" w:eastAsia="仿宋_GB2312" w:cs="仿宋_GB2312"/>
          <w:sz w:val="30"/>
          <w:szCs w:val="30"/>
        </w:rPr>
        <w:t>书</w:t>
      </w:r>
      <w:r>
        <w:rPr>
          <w:rFonts w:hint="eastAsia" w:ascii="仿宋_GB2312" w:hAnsi="Times New Roman" w:eastAsia="仿宋_GB2312" w:cs="仿宋_GB2312"/>
          <w:sz w:val="30"/>
          <w:szCs w:val="30"/>
        </w:rPr>
        <w:t>》</w:t>
      </w:r>
      <w:r>
        <w:rPr>
          <w:rFonts w:hint="eastAsia" w:ascii="仿宋_GB2312" w:hAnsi="Times New Roman" w:eastAsia="仿宋_GB2312" w:cs="Times New Roman"/>
          <w:sz w:val="30"/>
          <w:szCs w:val="30"/>
        </w:rPr>
        <w:t>后，据实填写表内所有信息，加盖企业公章并附法定代表人或负责人签字后，在线提交；</w:t>
      </w:r>
    </w:p>
    <w:p w14:paraId="1D4BB772">
      <w:pPr>
        <w:spacing w:line="360" w:lineRule="auto"/>
        <w:ind w:firstLine="600" w:firstLineChars="200"/>
        <w:rPr>
          <w:rFonts w:ascii="仿宋_GB2312" w:hAnsi="Times New Roman" w:eastAsia="仿宋_GB2312" w:cs="Times New Roman"/>
          <w:sz w:val="30"/>
          <w:szCs w:val="30"/>
        </w:rPr>
      </w:pPr>
      <w:r>
        <w:rPr>
          <w:rFonts w:hint="eastAsia" w:ascii="仿宋_GB2312" w:hAnsi="Times New Roman" w:eastAsia="仿宋_GB2312" w:cs="Times New Roman"/>
          <w:sz w:val="30"/>
          <w:szCs w:val="30"/>
        </w:rPr>
        <w:t>（三）提交工商行政管理部门核发的《营业执照》副本复印件（加盖企业公章）；</w:t>
      </w:r>
    </w:p>
    <w:p w14:paraId="16735784">
      <w:pPr>
        <w:spacing w:line="360" w:lineRule="auto"/>
        <w:ind w:firstLine="600" w:firstLineChars="200"/>
        <w:rPr>
          <w:rFonts w:ascii="仿宋_GB2312" w:hAnsi="Times New Roman" w:eastAsia="仿宋_GB2312" w:cs="Times New Roman"/>
          <w:sz w:val="30"/>
          <w:szCs w:val="30"/>
        </w:rPr>
      </w:pPr>
      <w:r>
        <w:rPr>
          <w:rFonts w:hint="eastAsia" w:ascii="仿宋_GB2312" w:hAnsi="Times New Roman" w:eastAsia="仿宋_GB2312" w:cs="Times New Roman"/>
          <w:sz w:val="30"/>
          <w:szCs w:val="30"/>
        </w:rPr>
        <w:t>（四）提交国家税务部门核发的《税务登记证》副本复印件（加盖企业公章）；</w:t>
      </w:r>
    </w:p>
    <w:p w14:paraId="309DB14F">
      <w:pPr>
        <w:spacing w:line="360" w:lineRule="auto"/>
        <w:ind w:firstLine="600" w:firstLineChars="200"/>
        <w:rPr>
          <w:rFonts w:ascii="仿宋_GB2312" w:hAnsi="Times New Roman" w:eastAsia="仿宋_GB2312" w:cs="Times New Roman"/>
          <w:sz w:val="30"/>
          <w:szCs w:val="30"/>
        </w:rPr>
      </w:pPr>
      <w:r>
        <w:rPr>
          <w:rFonts w:hint="eastAsia" w:ascii="仿宋_GB2312" w:hAnsi="Times New Roman" w:eastAsia="仿宋_GB2312" w:cs="Times New Roman"/>
          <w:sz w:val="30"/>
          <w:szCs w:val="30"/>
        </w:rPr>
        <w:t>（五）提交《企业组织机构代码证》副本复印件（加盖企业公章）</w:t>
      </w:r>
      <w:r>
        <w:rPr>
          <w:rFonts w:hint="eastAsia" w:ascii="仿宋_GB2312" w:hAnsi="仿宋_GB2312" w:eastAsia="仿宋_GB2312" w:cs="仿宋_GB2312"/>
          <w:sz w:val="32"/>
          <w:szCs w:val="32"/>
        </w:rPr>
        <w:t>（</w:t>
      </w:r>
      <w:r>
        <w:rPr>
          <w:rFonts w:hint="eastAsia" w:ascii="仿宋_GB2312" w:hAnsi="Times New Roman" w:eastAsia="仿宋_GB2312" w:cs="Times New Roman"/>
          <w:sz w:val="30"/>
          <w:szCs w:val="30"/>
        </w:rPr>
        <w:t>如果客户具有“三证合一”或“五证合一”营业执照，则无须再提交《税务登记证》副本及《企业组织机构代码证》副本复印件</w:t>
      </w:r>
      <w:r>
        <w:rPr>
          <w:rFonts w:hint="eastAsia" w:ascii="仿宋_GB2312" w:hAnsi="仿宋_GB2312" w:eastAsia="仿宋_GB2312" w:cs="仿宋_GB2312"/>
          <w:sz w:val="32"/>
          <w:szCs w:val="32"/>
        </w:rPr>
        <w:t>）</w:t>
      </w:r>
      <w:r>
        <w:rPr>
          <w:rFonts w:hint="eastAsia" w:ascii="仿宋_GB2312" w:hAnsi="Times New Roman" w:eastAsia="仿宋_GB2312" w:cs="Times New Roman"/>
          <w:sz w:val="30"/>
          <w:szCs w:val="30"/>
        </w:rPr>
        <w:t>；</w:t>
      </w:r>
    </w:p>
    <w:p w14:paraId="27103336">
      <w:pPr>
        <w:spacing w:line="360" w:lineRule="auto"/>
        <w:ind w:firstLine="600" w:firstLineChars="200"/>
        <w:rPr>
          <w:rFonts w:ascii="仿宋_GB2312" w:hAnsi="Times New Roman" w:eastAsia="仿宋_GB2312" w:cs="Times New Roman"/>
          <w:sz w:val="30"/>
          <w:szCs w:val="30"/>
        </w:rPr>
      </w:pPr>
      <w:r>
        <w:rPr>
          <w:rFonts w:hint="eastAsia" w:ascii="仿宋_GB2312" w:hAnsi="Times New Roman" w:eastAsia="仿宋_GB2312" w:cs="Times New Roman"/>
          <w:sz w:val="30"/>
          <w:szCs w:val="30"/>
        </w:rPr>
        <w:t>（六）提交法定代表人和操作员身份证复印件（加盖企业公章）；</w:t>
      </w:r>
    </w:p>
    <w:p w14:paraId="48B161E5">
      <w:pPr>
        <w:spacing w:line="360" w:lineRule="auto"/>
        <w:ind w:firstLine="600" w:firstLineChars="200"/>
        <w:rPr>
          <w:rFonts w:ascii="仿宋_GB2312" w:hAnsi="Times New Roman" w:eastAsia="仿宋_GB2312" w:cs="Times New Roman"/>
          <w:sz w:val="30"/>
          <w:szCs w:val="30"/>
        </w:rPr>
      </w:pPr>
      <w:r>
        <w:rPr>
          <w:rFonts w:hint="eastAsia" w:ascii="仿宋_GB2312" w:hAnsi="Times New Roman" w:eastAsia="仿宋_GB2312" w:cs="Times New Roman"/>
          <w:sz w:val="30"/>
          <w:szCs w:val="30"/>
        </w:rPr>
        <w:t>（七）提交业务所需的其他相关证照。</w:t>
      </w:r>
    </w:p>
    <w:p w14:paraId="575B09BD">
      <w:pPr>
        <w:spacing w:line="360" w:lineRule="auto"/>
        <w:ind w:firstLine="600" w:firstLineChars="200"/>
        <w:rPr>
          <w:rFonts w:ascii="仿宋_GB2312" w:hAnsi="Times New Roman" w:eastAsia="仿宋_GB2312" w:cs="Times New Roman"/>
          <w:sz w:val="30"/>
          <w:szCs w:val="30"/>
        </w:rPr>
      </w:pPr>
      <w:r>
        <w:rPr>
          <w:rFonts w:hint="eastAsia" w:ascii="仿宋_GB2312" w:hAnsi="Times New Roman" w:eastAsia="仿宋_GB2312" w:cs="Times New Roman"/>
          <w:sz w:val="30"/>
          <w:szCs w:val="30"/>
          <w:lang w:eastAsia="zh-CN"/>
        </w:rPr>
        <w:t>交易中心</w:t>
      </w:r>
      <w:r>
        <w:rPr>
          <w:rFonts w:hint="eastAsia" w:ascii="仿宋_GB2312" w:hAnsi="Times New Roman" w:eastAsia="仿宋_GB2312" w:cs="Times New Roman"/>
          <w:sz w:val="30"/>
          <w:szCs w:val="30"/>
        </w:rPr>
        <w:t>根据申请注册会员提供的以上资料进行审核，经核实无误后将会员账号、交易密码等相关交易凭证以短信形式发送至申请注册的企业，完成会员注册。</w:t>
      </w:r>
    </w:p>
    <w:p w14:paraId="250BB155">
      <w:pPr>
        <w:spacing w:line="360" w:lineRule="auto"/>
        <w:ind w:firstLine="602" w:firstLineChars="200"/>
        <w:rPr>
          <w:rFonts w:ascii="仿宋_GB2312" w:hAnsi="Times New Roman" w:eastAsia="仿宋_GB2312" w:cs="Times New Roman"/>
          <w:sz w:val="30"/>
          <w:szCs w:val="30"/>
        </w:rPr>
      </w:pPr>
      <w:r>
        <w:rPr>
          <w:rFonts w:hint="eastAsia" w:ascii="仿宋_GB2312" w:hAnsi="Times New Roman" w:eastAsia="仿宋_GB2312" w:cs="Times New Roman"/>
          <w:b/>
          <w:bCs/>
          <w:sz w:val="30"/>
          <w:szCs w:val="30"/>
        </w:rPr>
        <w:t>第十条</w:t>
      </w:r>
      <w:r>
        <w:rPr>
          <w:rFonts w:hint="eastAsia" w:ascii="仿宋_GB2312" w:hAnsi="Times New Roman" w:eastAsia="仿宋_GB2312" w:cs="Times New Roman"/>
          <w:sz w:val="30"/>
          <w:szCs w:val="30"/>
        </w:rPr>
        <w:t xml:space="preserve"> 会员注册成功后，如会员单位基本信息发生变化，可在线提交变更申请，并上传企业有效营业执照及法人身份证复印件（加盖公章）进行注册信息的变更；如会员单位出金账户发生变更，可向中储粮网提交《中储粮网企业资金账户变更申请表》申请变更。会员因未及时变更注册信息造成的任何损失，由会员自行承担。会员代码、交易密码及手机验证码是会员参加交易、结算和签章的登录凭证，属会员的核心机密，须妥善保管，如丢失或泄露造成的后果由会员自负。</w:t>
      </w:r>
    </w:p>
    <w:p w14:paraId="6192BCB1">
      <w:pPr>
        <w:tabs>
          <w:tab w:val="left" w:pos="-180"/>
          <w:tab w:val="left" w:pos="1303"/>
        </w:tabs>
        <w:spacing w:line="360" w:lineRule="auto"/>
        <w:ind w:firstLine="602" w:firstLineChars="200"/>
        <w:rPr>
          <w:rFonts w:ascii="仿宋_GB2312" w:hAnsi="Times New Roman" w:eastAsia="仿宋_GB2312" w:cs="Times New Roman"/>
          <w:sz w:val="30"/>
          <w:szCs w:val="30"/>
        </w:rPr>
      </w:pPr>
      <w:r>
        <w:rPr>
          <w:rFonts w:hint="eastAsia" w:ascii="仿宋_GB2312" w:hAnsi="Times New Roman" w:eastAsia="仿宋_GB2312" w:cs="Times New Roman"/>
          <w:b/>
          <w:bCs/>
          <w:sz w:val="30"/>
          <w:szCs w:val="30"/>
        </w:rPr>
        <w:t xml:space="preserve">第十一条 </w:t>
      </w:r>
      <w:r>
        <w:rPr>
          <w:rFonts w:hint="eastAsia" w:ascii="仿宋_GB2312" w:hAnsi="Times New Roman" w:eastAsia="仿宋_GB2312" w:cs="Times New Roman"/>
          <w:sz w:val="30"/>
          <w:szCs w:val="30"/>
        </w:rPr>
        <w:t>会员权利</w:t>
      </w:r>
    </w:p>
    <w:p w14:paraId="586048BC">
      <w:pPr>
        <w:spacing w:line="360" w:lineRule="auto"/>
        <w:ind w:firstLine="600" w:firstLineChars="200"/>
        <w:rPr>
          <w:rFonts w:ascii="仿宋_GB2312" w:hAnsi="Times New Roman" w:eastAsia="仿宋_GB2312" w:cs="Times New Roman"/>
          <w:sz w:val="30"/>
          <w:szCs w:val="30"/>
        </w:rPr>
      </w:pPr>
      <w:r>
        <w:rPr>
          <w:rFonts w:hint="eastAsia" w:ascii="仿宋_GB2312" w:hAnsi="Times New Roman" w:eastAsia="仿宋_GB2312" w:cs="Times New Roman"/>
          <w:sz w:val="30"/>
          <w:szCs w:val="30"/>
        </w:rPr>
        <w:t>（一）使用中储粮网从事交易。</w:t>
      </w:r>
    </w:p>
    <w:p w14:paraId="3C5310E9">
      <w:pPr>
        <w:tabs>
          <w:tab w:val="left" w:pos="-180"/>
        </w:tabs>
        <w:spacing w:line="360" w:lineRule="auto"/>
        <w:ind w:firstLine="600" w:firstLineChars="200"/>
        <w:rPr>
          <w:rFonts w:ascii="仿宋_GB2312" w:hAnsi="Times New Roman" w:eastAsia="仿宋_GB2312" w:cs="Times New Roman"/>
          <w:sz w:val="30"/>
          <w:szCs w:val="30"/>
        </w:rPr>
      </w:pPr>
      <w:r>
        <w:rPr>
          <w:rFonts w:hint="eastAsia" w:ascii="仿宋_GB2312" w:hAnsi="Times New Roman" w:eastAsia="仿宋_GB2312" w:cs="Times New Roman"/>
          <w:sz w:val="30"/>
          <w:szCs w:val="30"/>
        </w:rPr>
        <w:t>（二）使用并享受中储粮网提供的信息、结算、物流等配套服务。</w:t>
      </w:r>
    </w:p>
    <w:p w14:paraId="732B5D1F">
      <w:pPr>
        <w:tabs>
          <w:tab w:val="left" w:pos="-180"/>
        </w:tabs>
        <w:spacing w:line="360" w:lineRule="auto"/>
        <w:ind w:firstLine="600" w:firstLineChars="200"/>
        <w:rPr>
          <w:rFonts w:ascii="仿宋_GB2312" w:hAnsi="Times New Roman" w:eastAsia="仿宋_GB2312" w:cs="Times New Roman"/>
          <w:sz w:val="30"/>
          <w:szCs w:val="30"/>
        </w:rPr>
      </w:pPr>
      <w:r>
        <w:rPr>
          <w:rFonts w:hint="eastAsia" w:ascii="仿宋_GB2312" w:hAnsi="Times New Roman" w:eastAsia="仿宋_GB2312" w:cs="Times New Roman"/>
          <w:sz w:val="30"/>
          <w:szCs w:val="30"/>
        </w:rPr>
        <w:t>（三）对中储粮网的工作提出意见和建议。</w:t>
      </w:r>
    </w:p>
    <w:p w14:paraId="4193CB87">
      <w:pPr>
        <w:tabs>
          <w:tab w:val="left" w:pos="-180"/>
        </w:tabs>
        <w:spacing w:line="360" w:lineRule="auto"/>
        <w:ind w:firstLine="600" w:firstLineChars="200"/>
        <w:rPr>
          <w:rFonts w:ascii="仿宋_GB2312" w:hAnsi="Times New Roman" w:eastAsia="仿宋_GB2312" w:cs="Times New Roman"/>
          <w:sz w:val="30"/>
          <w:szCs w:val="30"/>
        </w:rPr>
      </w:pPr>
      <w:r>
        <w:rPr>
          <w:rFonts w:hint="eastAsia" w:ascii="仿宋_GB2312" w:hAnsi="Times New Roman" w:eastAsia="仿宋_GB2312" w:cs="Times New Roman"/>
          <w:sz w:val="30"/>
          <w:szCs w:val="30"/>
        </w:rPr>
        <w:t>（四）参加中储粮网组织的会员活动。</w:t>
      </w:r>
    </w:p>
    <w:p w14:paraId="11E847E2">
      <w:pPr>
        <w:tabs>
          <w:tab w:val="left" w:pos="-180"/>
        </w:tabs>
        <w:spacing w:line="360" w:lineRule="auto"/>
        <w:ind w:firstLine="600" w:firstLineChars="200"/>
        <w:rPr>
          <w:rFonts w:ascii="仿宋_GB2312" w:hAnsi="Times New Roman" w:eastAsia="仿宋_GB2312" w:cs="Times New Roman"/>
          <w:sz w:val="30"/>
          <w:szCs w:val="30"/>
        </w:rPr>
      </w:pPr>
      <w:r>
        <w:rPr>
          <w:rFonts w:hint="eastAsia" w:ascii="仿宋_GB2312" w:hAnsi="Times New Roman" w:eastAsia="仿宋_GB2312" w:cs="Times New Roman"/>
          <w:sz w:val="30"/>
          <w:szCs w:val="30"/>
        </w:rPr>
        <w:t>（五）优先享有中储粮网推出的增值服务。</w:t>
      </w:r>
    </w:p>
    <w:p w14:paraId="6D6100D7">
      <w:pPr>
        <w:tabs>
          <w:tab w:val="left" w:pos="-180"/>
        </w:tabs>
        <w:spacing w:line="360" w:lineRule="auto"/>
        <w:ind w:firstLine="600" w:firstLineChars="200"/>
        <w:rPr>
          <w:rFonts w:ascii="仿宋_GB2312" w:hAnsi="Times New Roman" w:eastAsia="仿宋_GB2312" w:cs="Times New Roman"/>
          <w:sz w:val="30"/>
          <w:szCs w:val="30"/>
        </w:rPr>
      </w:pPr>
      <w:r>
        <w:rPr>
          <w:rFonts w:hint="eastAsia" w:ascii="仿宋_GB2312" w:hAnsi="Times New Roman" w:eastAsia="仿宋_GB2312" w:cs="Times New Roman"/>
          <w:sz w:val="30"/>
          <w:szCs w:val="30"/>
        </w:rPr>
        <w:t>（六）其他依法应享有的权利。</w:t>
      </w:r>
    </w:p>
    <w:p w14:paraId="6B727D18">
      <w:pPr>
        <w:tabs>
          <w:tab w:val="left" w:pos="-180"/>
          <w:tab w:val="left" w:pos="1303"/>
        </w:tabs>
        <w:spacing w:line="360" w:lineRule="auto"/>
        <w:ind w:firstLine="602" w:firstLineChars="200"/>
        <w:rPr>
          <w:rFonts w:ascii="仿宋_GB2312" w:hAnsi="Times New Roman" w:eastAsia="仿宋_GB2312" w:cs="Times New Roman"/>
          <w:sz w:val="30"/>
          <w:szCs w:val="30"/>
        </w:rPr>
      </w:pPr>
      <w:r>
        <w:rPr>
          <w:rFonts w:hint="eastAsia" w:ascii="仿宋_GB2312" w:hAnsi="Times New Roman" w:eastAsia="仿宋_GB2312" w:cs="Times New Roman"/>
          <w:b/>
          <w:bCs/>
          <w:sz w:val="30"/>
          <w:szCs w:val="30"/>
        </w:rPr>
        <w:t xml:space="preserve">第十二条 </w:t>
      </w:r>
      <w:r>
        <w:rPr>
          <w:rFonts w:hint="eastAsia" w:ascii="仿宋_GB2312" w:hAnsi="Times New Roman" w:eastAsia="仿宋_GB2312" w:cs="Times New Roman"/>
          <w:sz w:val="30"/>
          <w:szCs w:val="30"/>
        </w:rPr>
        <w:t>会员义务</w:t>
      </w:r>
    </w:p>
    <w:p w14:paraId="22460E39">
      <w:pPr>
        <w:tabs>
          <w:tab w:val="left" w:pos="-180"/>
        </w:tabs>
        <w:spacing w:line="360" w:lineRule="auto"/>
        <w:ind w:firstLine="600" w:firstLineChars="200"/>
        <w:rPr>
          <w:rFonts w:ascii="仿宋_GB2312" w:hAnsi="Times New Roman" w:eastAsia="仿宋_GB2312" w:cs="Times New Roman"/>
          <w:sz w:val="30"/>
          <w:szCs w:val="30"/>
        </w:rPr>
      </w:pPr>
      <w:r>
        <w:rPr>
          <w:rFonts w:hint="eastAsia" w:ascii="仿宋_GB2312" w:hAnsi="Times New Roman" w:eastAsia="仿宋_GB2312" w:cs="Times New Roman"/>
          <w:sz w:val="30"/>
          <w:szCs w:val="30"/>
        </w:rPr>
        <w:t>（一）遵守本细则及中储粮网其他相关规定；</w:t>
      </w:r>
    </w:p>
    <w:p w14:paraId="2E6406D5">
      <w:pPr>
        <w:tabs>
          <w:tab w:val="left" w:pos="-180"/>
        </w:tabs>
        <w:spacing w:line="360" w:lineRule="auto"/>
        <w:ind w:firstLine="600" w:firstLineChars="200"/>
        <w:rPr>
          <w:rFonts w:ascii="仿宋_GB2312" w:hAnsi="Times New Roman" w:eastAsia="仿宋_GB2312" w:cs="Times New Roman"/>
          <w:sz w:val="30"/>
          <w:szCs w:val="30"/>
        </w:rPr>
      </w:pPr>
      <w:r>
        <w:rPr>
          <w:rFonts w:hint="eastAsia" w:ascii="仿宋_GB2312" w:hAnsi="Times New Roman" w:eastAsia="仿宋_GB2312" w:cs="Times New Roman"/>
          <w:sz w:val="30"/>
          <w:szCs w:val="30"/>
        </w:rPr>
        <w:t>（二）确保在本中储粮网中所发布信息真实、准确、合法、唯一。唯一性指在本中储粮网发布的相关信息不可同时在其他网站发布；</w:t>
      </w:r>
    </w:p>
    <w:p w14:paraId="52F86206">
      <w:pPr>
        <w:tabs>
          <w:tab w:val="left" w:pos="-180"/>
        </w:tabs>
        <w:spacing w:line="360" w:lineRule="auto"/>
        <w:ind w:firstLine="600" w:firstLineChars="200"/>
        <w:rPr>
          <w:rFonts w:ascii="仿宋_GB2312" w:hAnsi="Times New Roman" w:eastAsia="仿宋_GB2312" w:cs="Times New Roman"/>
          <w:sz w:val="30"/>
          <w:szCs w:val="30"/>
        </w:rPr>
      </w:pPr>
      <w:r>
        <w:rPr>
          <w:rFonts w:hint="eastAsia" w:ascii="仿宋_GB2312" w:hAnsi="Times New Roman" w:eastAsia="仿宋_GB2312" w:cs="Times New Roman"/>
          <w:sz w:val="30"/>
          <w:szCs w:val="30"/>
        </w:rPr>
        <w:t>（三）在获得会员资格后，及时更改从</w:t>
      </w:r>
      <w:r>
        <w:rPr>
          <w:rFonts w:hint="eastAsia" w:ascii="仿宋_GB2312" w:hAnsi="Times New Roman" w:eastAsia="仿宋_GB2312" w:cs="Times New Roman"/>
          <w:sz w:val="30"/>
          <w:szCs w:val="30"/>
          <w:lang w:eastAsia="zh-CN"/>
        </w:rPr>
        <w:t>交易中心</w:t>
      </w:r>
      <w:r>
        <w:rPr>
          <w:rFonts w:hint="eastAsia" w:ascii="仿宋_GB2312" w:hAnsi="Times New Roman" w:eastAsia="仿宋_GB2312" w:cs="Times New Roman"/>
          <w:sz w:val="30"/>
          <w:szCs w:val="30"/>
        </w:rPr>
        <w:t>获取的初始密码并妥善保管，并对其会员代码下发生的所有交易及结果承担全部责任，严格履行在中储粮网上签订的合同及协议；</w:t>
      </w:r>
    </w:p>
    <w:p w14:paraId="6943022A">
      <w:pPr>
        <w:tabs>
          <w:tab w:val="left" w:pos="-180"/>
        </w:tabs>
        <w:spacing w:line="360" w:lineRule="auto"/>
        <w:ind w:firstLine="600" w:firstLineChars="200"/>
        <w:rPr>
          <w:rFonts w:ascii="仿宋_GB2312" w:hAnsi="Times New Roman" w:eastAsia="仿宋_GB2312" w:cs="Times New Roman"/>
          <w:sz w:val="30"/>
          <w:szCs w:val="30"/>
        </w:rPr>
      </w:pPr>
      <w:r>
        <w:rPr>
          <w:rFonts w:hint="eastAsia" w:ascii="仿宋_GB2312" w:hAnsi="Times New Roman" w:eastAsia="仿宋_GB2312" w:cs="Times New Roman"/>
          <w:sz w:val="30"/>
          <w:szCs w:val="30"/>
        </w:rPr>
        <w:t>（四）确保提供给</w:t>
      </w:r>
      <w:r>
        <w:rPr>
          <w:rFonts w:hint="eastAsia" w:ascii="仿宋_GB2312" w:hAnsi="Times New Roman" w:eastAsia="仿宋_GB2312" w:cs="Times New Roman"/>
          <w:sz w:val="30"/>
          <w:szCs w:val="30"/>
          <w:lang w:eastAsia="zh-CN"/>
        </w:rPr>
        <w:t>交易中心</w:t>
      </w:r>
      <w:r>
        <w:rPr>
          <w:rFonts w:hint="eastAsia" w:ascii="仿宋_GB2312" w:hAnsi="Times New Roman" w:eastAsia="仿宋_GB2312" w:cs="Times New Roman"/>
          <w:sz w:val="30"/>
          <w:szCs w:val="30"/>
        </w:rPr>
        <w:t>备案的签名、印鉴等各种会员资料真实、合法、有效。如有变更，会员应及时提交变更申请至</w:t>
      </w:r>
      <w:r>
        <w:rPr>
          <w:rFonts w:hint="eastAsia" w:ascii="仿宋_GB2312" w:hAnsi="Times New Roman" w:eastAsia="仿宋_GB2312" w:cs="Times New Roman"/>
          <w:sz w:val="30"/>
          <w:szCs w:val="30"/>
          <w:lang w:eastAsia="zh-CN"/>
        </w:rPr>
        <w:t>交易中心</w:t>
      </w:r>
      <w:r>
        <w:rPr>
          <w:rFonts w:hint="eastAsia" w:ascii="仿宋_GB2312" w:hAnsi="Times New Roman" w:eastAsia="仿宋_GB2312" w:cs="Times New Roman"/>
          <w:sz w:val="30"/>
          <w:szCs w:val="30"/>
        </w:rPr>
        <w:t>进行信息变更；</w:t>
      </w:r>
    </w:p>
    <w:p w14:paraId="70819A33">
      <w:pPr>
        <w:tabs>
          <w:tab w:val="left" w:pos="-180"/>
        </w:tabs>
        <w:spacing w:line="360" w:lineRule="auto"/>
        <w:ind w:firstLine="600" w:firstLineChars="200"/>
        <w:rPr>
          <w:rFonts w:ascii="仿宋_GB2312" w:hAnsi="Times New Roman" w:eastAsia="仿宋_GB2312" w:cs="Times New Roman"/>
          <w:sz w:val="30"/>
          <w:szCs w:val="30"/>
        </w:rPr>
      </w:pPr>
      <w:r>
        <w:rPr>
          <w:rFonts w:hint="eastAsia" w:ascii="仿宋_GB2312" w:hAnsi="Times New Roman" w:eastAsia="仿宋_GB2312" w:cs="Times New Roman"/>
          <w:sz w:val="30"/>
          <w:szCs w:val="30"/>
        </w:rPr>
        <w:t>（五）遵守中储粮网交易交割流程以及商务协调管理办法；</w:t>
      </w:r>
    </w:p>
    <w:p w14:paraId="14359DD9">
      <w:pPr>
        <w:tabs>
          <w:tab w:val="left" w:pos="-180"/>
        </w:tabs>
        <w:spacing w:line="360" w:lineRule="auto"/>
        <w:ind w:firstLine="600" w:firstLineChars="200"/>
        <w:rPr>
          <w:rFonts w:ascii="仿宋_GB2312" w:hAnsi="Times New Roman" w:eastAsia="仿宋_GB2312" w:cs="Times New Roman"/>
          <w:sz w:val="30"/>
          <w:szCs w:val="30"/>
        </w:rPr>
      </w:pPr>
      <w:r>
        <w:rPr>
          <w:rFonts w:hint="eastAsia" w:ascii="仿宋_GB2312" w:hAnsi="Times New Roman" w:eastAsia="仿宋_GB2312" w:cs="Times New Roman"/>
          <w:sz w:val="30"/>
          <w:szCs w:val="30"/>
        </w:rPr>
        <w:t>（六）其他依法应履行的义务。</w:t>
      </w:r>
    </w:p>
    <w:p w14:paraId="444496CF">
      <w:pPr>
        <w:tabs>
          <w:tab w:val="left" w:pos="-180"/>
          <w:tab w:val="left" w:pos="2012"/>
        </w:tabs>
        <w:spacing w:line="360" w:lineRule="auto"/>
        <w:ind w:firstLine="602" w:firstLineChars="200"/>
        <w:rPr>
          <w:rFonts w:ascii="仿宋_GB2312" w:hAnsi="Times New Roman" w:eastAsia="仿宋_GB2312" w:cs="Times New Roman"/>
          <w:b/>
          <w:sz w:val="30"/>
          <w:szCs w:val="30"/>
        </w:rPr>
      </w:pPr>
      <w:r>
        <w:rPr>
          <w:rFonts w:hint="eastAsia" w:ascii="仿宋_GB2312" w:hAnsi="Times New Roman" w:eastAsia="仿宋_GB2312" w:cs="Times New Roman"/>
          <w:b/>
          <w:sz w:val="30"/>
          <w:szCs w:val="30"/>
        </w:rPr>
        <w:t>第十三条</w:t>
      </w:r>
      <w:r>
        <w:rPr>
          <w:rFonts w:hint="eastAsia" w:ascii="仿宋_GB2312" w:hAnsi="Times New Roman" w:eastAsia="仿宋_GB2312" w:cs="Times New Roman"/>
          <w:sz w:val="30"/>
          <w:szCs w:val="30"/>
        </w:rPr>
        <w:t xml:space="preserve"> 年审。中储粮网会员须按照中储粮网通知，提交通过年检合格的相关企业资料。</w:t>
      </w:r>
    </w:p>
    <w:p w14:paraId="1CFF9676">
      <w:pPr>
        <w:tabs>
          <w:tab w:val="left" w:pos="-180"/>
        </w:tabs>
        <w:spacing w:line="360" w:lineRule="auto"/>
        <w:ind w:left="600"/>
        <w:rPr>
          <w:rFonts w:ascii="仿宋_GB2312" w:hAnsi="Times New Roman" w:eastAsia="仿宋_GB2312" w:cs="Times New Roman"/>
          <w:b/>
          <w:sz w:val="30"/>
          <w:szCs w:val="30"/>
        </w:rPr>
      </w:pPr>
    </w:p>
    <w:p w14:paraId="60E1DB18">
      <w:pPr>
        <w:tabs>
          <w:tab w:val="left" w:pos="-180"/>
        </w:tabs>
        <w:spacing w:line="360" w:lineRule="auto"/>
        <w:jc w:val="center"/>
        <w:rPr>
          <w:rFonts w:ascii="黑体" w:hAnsi="黑体" w:eastAsia="黑体" w:cs="Times New Roman"/>
          <w:sz w:val="32"/>
          <w:szCs w:val="32"/>
        </w:rPr>
      </w:pPr>
      <w:r>
        <w:rPr>
          <w:rFonts w:hint="eastAsia" w:ascii="黑体" w:hAnsi="黑体" w:eastAsia="黑体" w:cs="Times New Roman"/>
          <w:sz w:val="32"/>
          <w:szCs w:val="32"/>
        </w:rPr>
        <w:t>第三章 交易准备</w:t>
      </w:r>
    </w:p>
    <w:p w14:paraId="46163D38">
      <w:pPr>
        <w:tabs>
          <w:tab w:val="left" w:pos="-180"/>
          <w:tab w:val="left" w:pos="1303"/>
        </w:tabs>
        <w:spacing w:line="360" w:lineRule="auto"/>
        <w:ind w:firstLine="569" w:firstLineChars="189"/>
        <w:rPr>
          <w:rFonts w:ascii="仿宋_GB2312" w:hAnsi="Times New Roman" w:eastAsia="仿宋_GB2312" w:cs="Times New Roman"/>
          <w:sz w:val="30"/>
          <w:szCs w:val="30"/>
        </w:rPr>
      </w:pPr>
      <w:r>
        <w:rPr>
          <w:rFonts w:hint="eastAsia" w:ascii="仿宋_GB2312" w:hAnsi="Times New Roman" w:eastAsia="仿宋_GB2312" w:cs="Times New Roman"/>
          <w:b/>
          <w:bCs/>
          <w:sz w:val="30"/>
          <w:szCs w:val="30"/>
        </w:rPr>
        <w:t xml:space="preserve">第十四条 </w:t>
      </w:r>
      <w:r>
        <w:rPr>
          <w:rFonts w:hint="eastAsia" w:ascii="仿宋_GB2312" w:hAnsi="Times New Roman" w:eastAsia="仿宋_GB2312" w:cs="Times New Roman"/>
          <w:sz w:val="30"/>
          <w:szCs w:val="30"/>
        </w:rPr>
        <w:t>交易时间。中储粮网的交易时间为7×24小时，客服时间为法定工作日9:00-17:00，出金业务仅在客服时间内办理。客服时间如有调整，以中储粮网公告为准。中储粮网认为必须控制风险或遇不可抗力事件时，有权决定暂停交易或调整交易开闭市时间。会员因其自身原因不能正常参与交易，不影响整体网上交易的进行。</w:t>
      </w:r>
    </w:p>
    <w:p w14:paraId="64BCF1DB">
      <w:pPr>
        <w:tabs>
          <w:tab w:val="left" w:pos="-180"/>
          <w:tab w:val="left" w:pos="1303"/>
        </w:tabs>
        <w:spacing w:line="360" w:lineRule="auto"/>
        <w:ind w:firstLine="569" w:firstLineChars="189"/>
        <w:rPr>
          <w:rFonts w:ascii="仿宋_GB2312" w:hAnsi="Times New Roman" w:eastAsia="仿宋_GB2312" w:cs="Times New Roman"/>
          <w:sz w:val="30"/>
          <w:szCs w:val="30"/>
        </w:rPr>
      </w:pPr>
      <w:r>
        <w:rPr>
          <w:rFonts w:hint="eastAsia" w:ascii="仿宋_GB2312" w:hAnsi="Times New Roman" w:eastAsia="仿宋_GB2312" w:cs="Times New Roman"/>
          <w:b/>
          <w:bCs/>
          <w:sz w:val="30"/>
          <w:szCs w:val="30"/>
        </w:rPr>
        <w:t xml:space="preserve">第十五条 </w:t>
      </w:r>
      <w:r>
        <w:rPr>
          <w:rFonts w:hint="eastAsia" w:ascii="仿宋_GB2312" w:hAnsi="Times New Roman" w:eastAsia="仿宋_GB2312" w:cs="Times New Roman"/>
          <w:sz w:val="30"/>
          <w:szCs w:val="30"/>
        </w:rPr>
        <w:t>竞价交易制度。中储粮网原则上实行保证金制，保证金的标准分两种：竞价交易保证金以各竞价专场公告约定标准执行；其他交易方式以标的发布方拟定的标准执行。</w:t>
      </w:r>
    </w:p>
    <w:p w14:paraId="45B09C84">
      <w:pPr>
        <w:tabs>
          <w:tab w:val="left" w:pos="-180"/>
          <w:tab w:val="left" w:pos="1303"/>
        </w:tabs>
        <w:spacing w:line="360" w:lineRule="auto"/>
        <w:ind w:firstLine="602" w:firstLineChars="200"/>
        <w:rPr>
          <w:rFonts w:ascii="仿宋_GB2312" w:hAnsi="Times New Roman" w:eastAsia="仿宋_GB2312" w:cs="仿宋_GB2312"/>
          <w:sz w:val="30"/>
          <w:szCs w:val="30"/>
        </w:rPr>
      </w:pPr>
      <w:r>
        <w:rPr>
          <w:rFonts w:hint="eastAsia" w:ascii="仿宋_GB2312" w:hAnsi="Times New Roman" w:eastAsia="仿宋_GB2312" w:cs="Times New Roman"/>
          <w:b/>
          <w:bCs/>
          <w:sz w:val="30"/>
          <w:szCs w:val="30"/>
        </w:rPr>
        <w:t xml:space="preserve">第十六条 </w:t>
      </w:r>
      <w:r>
        <w:rPr>
          <w:rFonts w:hint="eastAsia" w:ascii="仿宋_GB2312" w:hAnsi="Times New Roman" w:eastAsia="仿宋_GB2312" w:cs="Times New Roman"/>
          <w:sz w:val="30"/>
          <w:szCs w:val="30"/>
        </w:rPr>
        <w:t>中储粮网会员必须根据拟交易数量及保证金执行标准，保证会员托管账户中有足额资金，方可在中储粮网参与交易。报价成功后，交易资金的汇划必须通过各自的中储粮网托管账户进行收付，禁止脱离中储粮网、交易双方使用线下账户自行划转行为。交易结束后，双方必须及时在中储粮网进行完结操作，否则因此导致的保证金无法释放等后果由会员自行承担。</w:t>
      </w:r>
    </w:p>
    <w:p w14:paraId="7F65145E">
      <w:pPr>
        <w:tabs>
          <w:tab w:val="left" w:pos="-180"/>
          <w:tab w:val="left" w:pos="1303"/>
        </w:tabs>
        <w:spacing w:line="360" w:lineRule="auto"/>
        <w:ind w:firstLine="602" w:firstLineChars="200"/>
        <w:rPr>
          <w:rFonts w:ascii="仿宋_GB2312" w:hAnsi="Times New Roman" w:eastAsia="仿宋_GB2312" w:cs="Times New Roman"/>
          <w:sz w:val="30"/>
          <w:szCs w:val="30"/>
        </w:rPr>
      </w:pPr>
      <w:r>
        <w:rPr>
          <w:rFonts w:hint="eastAsia" w:ascii="仿宋_GB2312" w:hAnsi="Times New Roman" w:eastAsia="仿宋_GB2312" w:cs="Times New Roman"/>
          <w:b/>
          <w:bCs/>
          <w:sz w:val="30"/>
          <w:szCs w:val="30"/>
        </w:rPr>
        <w:t xml:space="preserve">第十七条 </w:t>
      </w:r>
      <w:r>
        <w:rPr>
          <w:rFonts w:hint="eastAsia" w:ascii="仿宋_GB2312" w:hAnsi="Times New Roman" w:eastAsia="仿宋_GB2312" w:cs="Times New Roman"/>
          <w:sz w:val="30"/>
          <w:szCs w:val="30"/>
        </w:rPr>
        <w:t>会员入金方式。按照</w:t>
      </w:r>
      <w:r>
        <w:rPr>
          <w:rFonts w:hint="eastAsia" w:ascii="仿宋_GB2312" w:hAnsi="Times New Roman" w:eastAsia="仿宋_GB2312" w:cs="Times New Roman"/>
          <w:sz w:val="30"/>
          <w:szCs w:val="30"/>
          <w:lang w:bidi="ar"/>
        </w:rPr>
        <w:t>《中储粮网线上交易参与方须知</w:t>
      </w:r>
      <w:r>
        <w:rPr>
          <w:rFonts w:hint="eastAsia" w:ascii="仿宋_GB2312" w:hAnsi="Times New Roman" w:eastAsia="仿宋_GB2312" w:cs="Times New Roman"/>
          <w:sz w:val="30"/>
          <w:szCs w:val="30"/>
          <w:lang w:val="en-US" w:eastAsia="zh-CN" w:bidi="ar"/>
        </w:rPr>
        <w:t>确认</w:t>
      </w:r>
      <w:r>
        <w:rPr>
          <w:rFonts w:hint="eastAsia" w:ascii="仿宋_GB2312" w:hAnsi="Times New Roman" w:eastAsia="仿宋_GB2312" w:cs="Times New Roman"/>
          <w:sz w:val="30"/>
          <w:szCs w:val="30"/>
          <w:lang w:bidi="ar"/>
        </w:rPr>
        <w:t>书》，会员在注册成功时，中储粮网将代理会员在中国工商银行开设物流运输业务专用资金托管账户（详细信息可在会员个人中心查询），该账户为会员在中储粮网物流运输交易专用的账户，交易前会员必须将保证金汇入物流交易资金托管账户（节假日参照银行转账相关规定）。</w:t>
      </w:r>
    </w:p>
    <w:p w14:paraId="2D6904F6">
      <w:pPr>
        <w:tabs>
          <w:tab w:val="left" w:pos="-180"/>
        </w:tabs>
        <w:spacing w:line="360" w:lineRule="auto"/>
        <w:ind w:firstLine="600" w:firstLineChars="200"/>
        <w:jc w:val="left"/>
        <w:rPr>
          <w:rFonts w:ascii="仿宋_GB2312" w:hAnsi="Times New Roman" w:eastAsia="仿宋_GB2312" w:cs="仿宋_GB2312"/>
          <w:sz w:val="30"/>
          <w:szCs w:val="30"/>
        </w:rPr>
      </w:pPr>
      <w:r>
        <w:rPr>
          <w:rFonts w:hint="eastAsia" w:ascii="仿宋_GB2312" w:hAnsi="Times New Roman" w:eastAsia="仿宋_GB2312" w:cs="仿宋_GB2312"/>
          <w:sz w:val="30"/>
          <w:szCs w:val="30"/>
          <w:lang w:bidi="ar"/>
        </w:rPr>
        <w:t>账户名称：中储粮网会员本企业名称</w:t>
      </w:r>
    </w:p>
    <w:p w14:paraId="443CAAC8">
      <w:pPr>
        <w:tabs>
          <w:tab w:val="left" w:pos="-180"/>
        </w:tabs>
        <w:spacing w:line="360" w:lineRule="auto"/>
        <w:ind w:firstLine="600" w:firstLineChars="200"/>
        <w:jc w:val="left"/>
        <w:rPr>
          <w:rFonts w:ascii="仿宋_GB2312" w:hAnsi="Times New Roman" w:eastAsia="仿宋_GB2312" w:cs="仿宋_GB2312"/>
          <w:sz w:val="30"/>
          <w:szCs w:val="30"/>
        </w:rPr>
      </w:pPr>
      <w:r>
        <w:rPr>
          <w:rFonts w:hint="eastAsia" w:ascii="仿宋_GB2312" w:hAnsi="Times New Roman" w:eastAsia="仿宋_GB2312" w:cs="仿宋_GB2312"/>
          <w:sz w:val="30"/>
          <w:szCs w:val="30"/>
          <w:lang w:bidi="ar"/>
        </w:rPr>
        <w:t>开 户 行：中国工商银行德外支行</w:t>
      </w:r>
    </w:p>
    <w:p w14:paraId="297FEE5E">
      <w:pPr>
        <w:tabs>
          <w:tab w:val="left" w:pos="-180"/>
        </w:tabs>
        <w:spacing w:line="360" w:lineRule="auto"/>
        <w:ind w:firstLine="600" w:firstLineChars="200"/>
        <w:jc w:val="left"/>
        <w:rPr>
          <w:rFonts w:ascii="仿宋_GB2312" w:hAnsi="Times New Roman" w:eastAsia="仿宋_GB2312" w:cs="仿宋_GB2312"/>
          <w:sz w:val="30"/>
          <w:szCs w:val="30"/>
        </w:rPr>
      </w:pPr>
      <w:r>
        <w:rPr>
          <w:rFonts w:hint="eastAsia" w:ascii="仿宋_GB2312" w:hAnsi="Times New Roman" w:eastAsia="仿宋_GB2312" w:cs="仿宋_GB2312"/>
          <w:sz w:val="30"/>
          <w:szCs w:val="30"/>
          <w:lang w:bidi="ar"/>
        </w:rPr>
        <w:t>账    号：中储粮网会员本企业物流交易托管账号</w:t>
      </w:r>
    </w:p>
    <w:p w14:paraId="0AA38C99">
      <w:pPr>
        <w:tabs>
          <w:tab w:val="left" w:pos="-180"/>
        </w:tabs>
        <w:spacing w:line="360" w:lineRule="auto"/>
        <w:ind w:firstLine="600" w:firstLineChars="200"/>
        <w:jc w:val="left"/>
        <w:rPr>
          <w:rFonts w:ascii="仿宋_GB2312" w:hAnsi="Times New Roman" w:eastAsia="仿宋_GB2312" w:cs="仿宋_GB2312"/>
          <w:sz w:val="30"/>
          <w:szCs w:val="30"/>
        </w:rPr>
      </w:pPr>
      <w:r>
        <w:rPr>
          <w:rFonts w:hint="eastAsia" w:ascii="仿宋_GB2312" w:hAnsi="Times New Roman" w:eastAsia="仿宋_GB2312" w:cs="仿宋_GB2312"/>
          <w:sz w:val="30"/>
          <w:szCs w:val="30"/>
          <w:lang w:bidi="ar"/>
        </w:rPr>
        <w:t>银行行号：1021 0000 0136</w:t>
      </w:r>
    </w:p>
    <w:p w14:paraId="48F05005">
      <w:pPr>
        <w:tabs>
          <w:tab w:val="left" w:pos="-180"/>
        </w:tabs>
        <w:spacing w:line="360" w:lineRule="auto"/>
        <w:ind w:firstLine="600" w:firstLineChars="200"/>
        <w:jc w:val="left"/>
        <w:rPr>
          <w:rFonts w:ascii="仿宋_GB2312" w:hAnsi="Times New Roman" w:eastAsia="仿宋_GB2312" w:cs="仿宋_GB2312"/>
          <w:sz w:val="30"/>
          <w:szCs w:val="30"/>
          <w:lang w:bidi="ar"/>
        </w:rPr>
      </w:pPr>
      <w:r>
        <w:rPr>
          <w:rFonts w:hint="eastAsia" w:ascii="仿宋_GB2312" w:hAnsi="Times New Roman" w:eastAsia="仿宋_GB2312" w:cs="仿宋_GB2312"/>
          <w:sz w:val="30"/>
          <w:szCs w:val="30"/>
          <w:lang w:bidi="ar"/>
        </w:rPr>
        <w:t>银行所属区域：北京市西城区</w:t>
      </w:r>
    </w:p>
    <w:p w14:paraId="22511939">
      <w:pPr>
        <w:tabs>
          <w:tab w:val="left" w:pos="-180"/>
          <w:tab w:val="left" w:pos="1303"/>
        </w:tabs>
        <w:spacing w:line="360" w:lineRule="auto"/>
        <w:ind w:firstLine="602" w:firstLineChars="200"/>
        <w:rPr>
          <w:rFonts w:ascii="仿宋_GB2312" w:hAnsi="Times New Roman" w:eastAsia="仿宋_GB2312" w:cs="仿宋_GB2312"/>
          <w:sz w:val="30"/>
          <w:szCs w:val="30"/>
        </w:rPr>
      </w:pPr>
      <w:r>
        <w:rPr>
          <w:rFonts w:hint="eastAsia" w:ascii="仿宋_GB2312" w:hAnsi="Times New Roman" w:eastAsia="仿宋_GB2312" w:cs="Times New Roman"/>
          <w:b/>
          <w:bCs/>
          <w:sz w:val="30"/>
          <w:szCs w:val="30"/>
        </w:rPr>
        <w:t xml:space="preserve">第十八条 </w:t>
      </w:r>
      <w:r>
        <w:rPr>
          <w:rFonts w:hint="eastAsia" w:ascii="仿宋_GB2312" w:hAnsi="Times New Roman" w:eastAsia="仿宋_GB2312" w:cs="Times New Roman"/>
          <w:sz w:val="30"/>
          <w:szCs w:val="30"/>
        </w:rPr>
        <w:t>会员资金管理。会员在中储粮网交易中涉及的保证金、运输款项等资金必须存入中储粮网物流交易托管账户内委托中储粮网进行管理，并按照中储粮网相关制度、规则及协议规定，通过中储粮网进行资金汇划结算。</w:t>
      </w:r>
    </w:p>
    <w:p w14:paraId="124D3E6B">
      <w:pPr>
        <w:tabs>
          <w:tab w:val="left" w:pos="-180"/>
          <w:tab w:val="left" w:pos="1303"/>
        </w:tabs>
        <w:spacing w:line="360" w:lineRule="auto"/>
        <w:ind w:firstLine="602" w:firstLineChars="200"/>
        <w:rPr>
          <w:rFonts w:ascii="仿宋_GB2312" w:hAnsi="Times New Roman" w:eastAsia="仿宋_GB2312" w:cs="仿宋_GB2312"/>
          <w:sz w:val="30"/>
          <w:szCs w:val="30"/>
        </w:rPr>
      </w:pPr>
      <w:r>
        <w:rPr>
          <w:rFonts w:hint="eastAsia" w:ascii="仿宋_GB2312" w:hAnsi="Times New Roman" w:eastAsia="仿宋_GB2312" w:cs="Times New Roman"/>
          <w:b/>
          <w:bCs/>
          <w:sz w:val="30"/>
          <w:szCs w:val="30"/>
        </w:rPr>
        <w:t xml:space="preserve">第十九条 </w:t>
      </w:r>
      <w:r>
        <w:rPr>
          <w:rFonts w:hint="eastAsia" w:ascii="仿宋_GB2312" w:hAnsi="Times New Roman" w:eastAsia="仿宋_GB2312" w:cs="仿宋_GB2312"/>
          <w:sz w:val="30"/>
          <w:szCs w:val="30"/>
          <w:lang w:bidi="ar"/>
        </w:rPr>
        <w:t>电子签章。根据《中储粮网电子签章使用确认书》，会员在中储粮网注册成功时，中储粮网将为会员下发CA证书，原则上证书有效期为一年，到期前会员应主动进行年审，证书有效期内，会员主要通过“云签”方式在中储粮网内使用电子签章开展相关业务活动。</w:t>
      </w:r>
    </w:p>
    <w:p w14:paraId="4EBECE95">
      <w:pPr>
        <w:tabs>
          <w:tab w:val="left" w:pos="-180"/>
        </w:tabs>
        <w:spacing w:line="360" w:lineRule="auto"/>
        <w:jc w:val="left"/>
        <w:rPr>
          <w:rFonts w:ascii="仿宋_GB2312" w:hAnsi="Times New Roman" w:eastAsia="仿宋_GB2312" w:cs="仿宋_GB2312"/>
          <w:sz w:val="30"/>
          <w:szCs w:val="30"/>
          <w:lang w:bidi="ar"/>
        </w:rPr>
      </w:pPr>
    </w:p>
    <w:p w14:paraId="70177EC2">
      <w:pPr>
        <w:spacing w:line="360" w:lineRule="auto"/>
        <w:jc w:val="center"/>
        <w:rPr>
          <w:rFonts w:ascii="仿宋_GB2312" w:hAnsi="Times New Roman" w:eastAsia="仿宋_GB2312" w:cs="Times New Roman"/>
          <w:sz w:val="30"/>
          <w:szCs w:val="30"/>
        </w:rPr>
      </w:pPr>
      <w:r>
        <w:rPr>
          <w:rFonts w:hint="eastAsia" w:ascii="黑体" w:hAnsi="黑体" w:eastAsia="黑体" w:cs="Times New Roman"/>
          <w:sz w:val="32"/>
          <w:szCs w:val="32"/>
        </w:rPr>
        <w:t>第四章 交易秩序</w:t>
      </w:r>
    </w:p>
    <w:p w14:paraId="596496BB">
      <w:pPr>
        <w:tabs>
          <w:tab w:val="left" w:pos="-180"/>
          <w:tab w:val="left" w:pos="1303"/>
        </w:tabs>
        <w:spacing w:line="360" w:lineRule="auto"/>
        <w:ind w:firstLine="602" w:firstLineChars="200"/>
        <w:rPr>
          <w:rFonts w:ascii="仿宋_GB2312" w:hAnsi="Times New Roman" w:eastAsia="仿宋_GB2312" w:cs="Times New Roman"/>
          <w:sz w:val="30"/>
          <w:szCs w:val="30"/>
        </w:rPr>
      </w:pPr>
      <w:r>
        <w:rPr>
          <w:rFonts w:hint="eastAsia" w:ascii="仿宋_GB2312" w:hAnsi="Times New Roman" w:eastAsia="仿宋_GB2312" w:cs="Times New Roman"/>
          <w:b/>
          <w:bCs/>
          <w:sz w:val="30"/>
          <w:szCs w:val="30"/>
        </w:rPr>
        <w:t xml:space="preserve">第二十条 </w:t>
      </w:r>
      <w:r>
        <w:rPr>
          <w:rFonts w:hint="eastAsia" w:ascii="仿宋_GB2312" w:hAnsi="宋体" w:eastAsia="仿宋_GB2312" w:cs="Times New Roman"/>
          <w:spacing w:val="6"/>
          <w:sz w:val="30"/>
          <w:szCs w:val="30"/>
        </w:rPr>
        <w:t>禁止虚假交易，禁止恶意串通操纵交易价格等损害他人利益的一切行为。</w:t>
      </w:r>
    </w:p>
    <w:p w14:paraId="78302ECE">
      <w:pPr>
        <w:tabs>
          <w:tab w:val="left" w:pos="-180"/>
          <w:tab w:val="left" w:pos="1303"/>
        </w:tabs>
        <w:spacing w:line="360" w:lineRule="auto"/>
        <w:ind w:firstLine="602" w:firstLineChars="200"/>
        <w:rPr>
          <w:rFonts w:ascii="仿宋_GB2312" w:hAnsi="Times New Roman" w:eastAsia="仿宋_GB2312" w:cs="Times New Roman"/>
          <w:sz w:val="30"/>
          <w:szCs w:val="30"/>
        </w:rPr>
      </w:pPr>
      <w:r>
        <w:rPr>
          <w:rFonts w:hint="eastAsia" w:ascii="仿宋_GB2312" w:hAnsi="Times New Roman" w:eastAsia="仿宋_GB2312" w:cs="Times New Roman"/>
          <w:b/>
          <w:bCs/>
          <w:sz w:val="30"/>
          <w:szCs w:val="30"/>
        </w:rPr>
        <w:t xml:space="preserve">第二十一条 </w:t>
      </w:r>
      <w:r>
        <w:rPr>
          <w:rFonts w:hint="eastAsia" w:ascii="仿宋_GB2312" w:hAnsi="宋体" w:eastAsia="仿宋_GB2312" w:cs="Times New Roman"/>
          <w:spacing w:val="6"/>
          <w:sz w:val="30"/>
          <w:szCs w:val="30"/>
        </w:rPr>
        <w:t>交易活动必须按</w:t>
      </w:r>
      <w:r>
        <w:rPr>
          <w:rFonts w:hint="eastAsia" w:ascii="仿宋_GB2312" w:hAnsi="Times New Roman" w:eastAsia="仿宋_GB2312" w:cs="Times New Roman"/>
          <w:sz w:val="30"/>
          <w:szCs w:val="30"/>
        </w:rPr>
        <w:t>照中储粮网确</w:t>
      </w:r>
      <w:r>
        <w:rPr>
          <w:rFonts w:hint="eastAsia" w:ascii="仿宋_GB2312" w:hAnsi="宋体" w:eastAsia="仿宋_GB2312" w:cs="Times New Roman"/>
          <w:spacing w:val="6"/>
          <w:sz w:val="30"/>
          <w:szCs w:val="30"/>
        </w:rPr>
        <w:t>定的交易方式、交易规则进行。</w:t>
      </w:r>
    </w:p>
    <w:p w14:paraId="6F3F4AD5">
      <w:pPr>
        <w:spacing w:line="360" w:lineRule="auto"/>
        <w:ind w:firstLine="600" w:firstLineChars="200"/>
        <w:rPr>
          <w:rFonts w:ascii="仿宋_GB2312" w:hAnsi="Times New Roman" w:eastAsia="仿宋_GB2312" w:cs="Times New Roman"/>
          <w:sz w:val="30"/>
          <w:szCs w:val="30"/>
        </w:rPr>
      </w:pPr>
    </w:p>
    <w:p w14:paraId="3B3F0B1E">
      <w:pPr>
        <w:spacing w:line="360" w:lineRule="auto"/>
        <w:jc w:val="center"/>
        <w:rPr>
          <w:rFonts w:ascii="黑体" w:hAnsi="黑体" w:eastAsia="黑体" w:cs="Times New Roman"/>
          <w:sz w:val="32"/>
          <w:szCs w:val="32"/>
        </w:rPr>
      </w:pPr>
      <w:r>
        <w:rPr>
          <w:rFonts w:hint="eastAsia" w:ascii="黑体" w:hAnsi="黑体" w:eastAsia="黑体" w:cs="Times New Roman"/>
          <w:sz w:val="32"/>
          <w:szCs w:val="32"/>
        </w:rPr>
        <w:t>第五章 竞价交易</w:t>
      </w:r>
    </w:p>
    <w:p w14:paraId="64547190">
      <w:pPr>
        <w:tabs>
          <w:tab w:val="left" w:pos="-180"/>
          <w:tab w:val="left" w:pos="1303"/>
        </w:tabs>
        <w:spacing w:line="360" w:lineRule="auto"/>
        <w:ind w:firstLine="602" w:firstLineChars="200"/>
        <w:rPr>
          <w:rFonts w:ascii="仿宋_GB2312" w:hAnsi="Times New Roman" w:eastAsia="仿宋_GB2312" w:cs="Times New Roman"/>
          <w:sz w:val="30"/>
          <w:szCs w:val="30"/>
        </w:rPr>
      </w:pPr>
      <w:r>
        <w:rPr>
          <w:rFonts w:hint="eastAsia" w:ascii="仿宋_GB2312" w:hAnsi="Times New Roman" w:eastAsia="仿宋_GB2312" w:cs="Times New Roman"/>
          <w:b/>
          <w:bCs/>
          <w:sz w:val="30"/>
          <w:szCs w:val="30"/>
        </w:rPr>
        <w:t>第二十二条</w:t>
      </w:r>
      <w:r>
        <w:rPr>
          <w:rFonts w:hint="eastAsia" w:ascii="仿宋_GB2312" w:hAnsi="Times New Roman" w:eastAsia="仿宋_GB2312" w:cs="Times New Roman"/>
          <w:sz w:val="30"/>
          <w:szCs w:val="30"/>
        </w:rPr>
        <w:t xml:space="preserve"> 物流运输服务的竞价交易模式是指有运输需求的中储粮网会员在中储粮网上采用专场竞价交易的模式进行交易。会员委托中储粮网发布需求信息，信息以专场标的形式展现；报价方在专场交易的规定时间内可对选定的标的，进行自由报价。交易系统按照“价格优先”的原则成交。在有效时间内，最低报价相同者需进入下一轮报价，报价不得高于前次报价，直到出现唯一最低报价。</w:t>
      </w:r>
    </w:p>
    <w:p w14:paraId="609E8D70">
      <w:pPr>
        <w:tabs>
          <w:tab w:val="left" w:pos="-180"/>
          <w:tab w:val="left" w:pos="1303"/>
        </w:tabs>
        <w:spacing w:line="360" w:lineRule="auto"/>
        <w:ind w:firstLine="602" w:firstLineChars="200"/>
        <w:rPr>
          <w:rFonts w:ascii="仿宋_GB2312" w:hAnsi="Times New Roman" w:eastAsia="仿宋_GB2312" w:cs="Times New Roman"/>
          <w:sz w:val="30"/>
          <w:szCs w:val="30"/>
        </w:rPr>
      </w:pPr>
      <w:r>
        <w:rPr>
          <w:rFonts w:hint="eastAsia" w:ascii="仿宋_GB2312" w:hAnsi="Times New Roman" w:eastAsia="仿宋_GB2312" w:cs="Times New Roman"/>
          <w:b/>
          <w:bCs/>
          <w:sz w:val="30"/>
          <w:szCs w:val="30"/>
        </w:rPr>
        <w:t xml:space="preserve">第二十三条 </w:t>
      </w:r>
      <w:r>
        <w:rPr>
          <w:rFonts w:hint="eastAsia" w:ascii="仿宋_GB2312" w:hAnsi="Times New Roman" w:eastAsia="仿宋_GB2312" w:cs="Times New Roman"/>
          <w:sz w:val="30"/>
          <w:szCs w:val="30"/>
        </w:rPr>
        <w:t>竞价交易信息发布。交易委托方应以《中储粮网物流运输竞价交易清单》的方式向中储粮网提供竞价标的，由中储粮网负责建设专场。标的内容应包含品种、委托方、起点、实际接收库点（及详细地址）、数量、运输方式、运输工具、损耗、履约起止日期、提货起止日期、单车（船）运达期限及其他运输要求等。交易委托方需对所提供标的信息的真实性、完整性以及准确性承担法律责任。每次竞价交易专场举行之前，交易委托方均通过中储粮网发布公告。</w:t>
      </w:r>
    </w:p>
    <w:p w14:paraId="689CBB22">
      <w:pPr>
        <w:tabs>
          <w:tab w:val="left" w:pos="-180"/>
          <w:tab w:val="left" w:pos="1303"/>
        </w:tabs>
        <w:spacing w:line="360" w:lineRule="auto"/>
        <w:ind w:firstLine="602" w:firstLineChars="200"/>
        <w:rPr>
          <w:rFonts w:ascii="仿宋_GB2312" w:hAnsi="Times New Roman" w:eastAsia="仿宋_GB2312" w:cs="Times New Roman"/>
          <w:sz w:val="30"/>
          <w:szCs w:val="30"/>
        </w:rPr>
      </w:pPr>
      <w:r>
        <w:rPr>
          <w:rFonts w:hint="eastAsia" w:ascii="仿宋_GB2312" w:hAnsi="Times New Roman" w:eastAsia="仿宋_GB2312" w:cs="Times New Roman"/>
          <w:b/>
          <w:bCs/>
          <w:sz w:val="30"/>
          <w:szCs w:val="30"/>
        </w:rPr>
        <w:t xml:space="preserve">第二十四条 </w:t>
      </w:r>
      <w:r>
        <w:rPr>
          <w:rFonts w:hint="eastAsia" w:ascii="仿宋_GB2312" w:hAnsi="Times New Roman" w:eastAsia="仿宋_GB2312" w:cs="Times New Roman"/>
          <w:sz w:val="30"/>
          <w:szCs w:val="30"/>
        </w:rPr>
        <w:t>竞价交易拦标价格原则上为运输服务单价（含税），拦标价原则上不予公示。</w:t>
      </w:r>
    </w:p>
    <w:p w14:paraId="25BAB872">
      <w:pPr>
        <w:tabs>
          <w:tab w:val="left" w:pos="-180"/>
          <w:tab w:val="left" w:pos="1303"/>
        </w:tabs>
        <w:spacing w:line="360" w:lineRule="auto"/>
        <w:ind w:firstLine="602" w:firstLineChars="200"/>
        <w:rPr>
          <w:rFonts w:ascii="仿宋_GB2312" w:hAnsi="Times New Roman" w:eastAsia="仿宋_GB2312" w:cs="Times New Roman"/>
          <w:sz w:val="30"/>
          <w:szCs w:val="30"/>
        </w:rPr>
      </w:pPr>
      <w:r>
        <w:rPr>
          <w:rFonts w:hint="eastAsia" w:ascii="仿宋_GB2312" w:hAnsi="Times New Roman" w:eastAsia="仿宋_GB2312" w:cs="Times New Roman"/>
          <w:b/>
          <w:bCs/>
          <w:sz w:val="30"/>
          <w:szCs w:val="30"/>
        </w:rPr>
        <w:t xml:space="preserve">第二十五条 </w:t>
      </w:r>
      <w:r>
        <w:rPr>
          <w:rFonts w:hint="eastAsia" w:ascii="仿宋_GB2312" w:hAnsi="Times New Roman" w:eastAsia="仿宋_GB2312" w:cs="Times New Roman"/>
          <w:sz w:val="30"/>
          <w:szCs w:val="30"/>
        </w:rPr>
        <w:t>竞价交易成交价格在交易公告无特殊声明时，均为运输服务单价（含税）的成交价格，不含其它费用。</w:t>
      </w:r>
    </w:p>
    <w:p w14:paraId="212B4016">
      <w:pPr>
        <w:tabs>
          <w:tab w:val="left" w:pos="-180"/>
          <w:tab w:val="left" w:pos="1303"/>
        </w:tabs>
        <w:spacing w:line="360" w:lineRule="auto"/>
        <w:ind w:firstLine="602" w:firstLineChars="200"/>
        <w:rPr>
          <w:rFonts w:ascii="仿宋_GB2312" w:hAnsi="Times New Roman" w:eastAsia="仿宋_GB2312" w:cs="Times New Roman"/>
          <w:sz w:val="30"/>
          <w:szCs w:val="30"/>
        </w:rPr>
      </w:pPr>
      <w:r>
        <w:rPr>
          <w:rFonts w:hint="eastAsia" w:ascii="仿宋_GB2312" w:hAnsi="Times New Roman" w:eastAsia="仿宋_GB2312" w:cs="Times New Roman"/>
          <w:b/>
          <w:bCs/>
          <w:sz w:val="30"/>
          <w:szCs w:val="30"/>
        </w:rPr>
        <w:t xml:space="preserve">第二十六条 </w:t>
      </w:r>
      <w:r>
        <w:rPr>
          <w:rFonts w:hint="eastAsia" w:ascii="仿宋_GB2312" w:hAnsi="宋体" w:eastAsia="仿宋_GB2312" w:cs="Times New Roman"/>
          <w:spacing w:val="6"/>
          <w:sz w:val="30"/>
          <w:szCs w:val="30"/>
        </w:rPr>
        <w:t>竞价交易按交易委托方提供的竞价清单排列展示，所有标的同时进行</w:t>
      </w:r>
      <w:r>
        <w:rPr>
          <w:rFonts w:hint="eastAsia" w:ascii="仿宋_GB2312" w:hAnsi="Times New Roman" w:eastAsia="仿宋_GB2312" w:cs="Times New Roman"/>
          <w:sz w:val="30"/>
          <w:szCs w:val="30"/>
        </w:rPr>
        <w:t>。</w:t>
      </w:r>
    </w:p>
    <w:p w14:paraId="009F0D10">
      <w:pPr>
        <w:tabs>
          <w:tab w:val="left" w:pos="-180"/>
          <w:tab w:val="left" w:pos="1303"/>
        </w:tabs>
        <w:spacing w:line="360" w:lineRule="auto"/>
        <w:ind w:firstLine="602" w:firstLineChars="200"/>
        <w:rPr>
          <w:rFonts w:ascii="仿宋_GB2312" w:hAnsi="Times New Roman" w:eastAsia="仿宋_GB2312" w:cs="Times New Roman"/>
          <w:sz w:val="30"/>
          <w:szCs w:val="30"/>
        </w:rPr>
      </w:pPr>
      <w:r>
        <w:rPr>
          <w:rFonts w:hint="eastAsia" w:ascii="仿宋_GB2312" w:hAnsi="Times New Roman" w:eastAsia="仿宋_GB2312" w:cs="Times New Roman"/>
          <w:b/>
          <w:bCs/>
          <w:sz w:val="30"/>
          <w:szCs w:val="30"/>
        </w:rPr>
        <w:t xml:space="preserve">第二十七条 </w:t>
      </w:r>
      <w:r>
        <w:rPr>
          <w:rFonts w:hint="eastAsia" w:ascii="仿宋_GB2312" w:hAnsi="宋体" w:eastAsia="仿宋_GB2312" w:cs="仿宋_GB2312"/>
          <w:spacing w:val="6"/>
          <w:kern w:val="0"/>
          <w:sz w:val="30"/>
          <w:szCs w:val="30"/>
        </w:rPr>
        <w:t>会员进入中储粮网竞价专场，应点击计算机报价，竞价数量已超过预交保证金所能购买数量的不可再参加竞价。</w:t>
      </w:r>
    </w:p>
    <w:p w14:paraId="1E2604CC">
      <w:pPr>
        <w:tabs>
          <w:tab w:val="left" w:pos="-180"/>
          <w:tab w:val="left" w:pos="1303"/>
        </w:tabs>
        <w:spacing w:line="360" w:lineRule="auto"/>
        <w:ind w:firstLine="602" w:firstLineChars="200"/>
        <w:rPr>
          <w:rFonts w:ascii="仿宋_GB2312" w:hAnsi="Times New Roman" w:eastAsia="仿宋_GB2312" w:cs="Times New Roman"/>
          <w:sz w:val="30"/>
          <w:szCs w:val="30"/>
        </w:rPr>
      </w:pPr>
      <w:r>
        <w:rPr>
          <w:rFonts w:hint="eastAsia" w:ascii="仿宋_GB2312" w:hAnsi="Times New Roman" w:eastAsia="仿宋_GB2312" w:cs="Times New Roman"/>
          <w:b/>
          <w:bCs/>
          <w:sz w:val="30"/>
          <w:szCs w:val="30"/>
        </w:rPr>
        <w:t xml:space="preserve">第二十八条 </w:t>
      </w:r>
      <w:r>
        <w:rPr>
          <w:rFonts w:hint="eastAsia" w:ascii="仿宋_GB2312" w:hAnsi="Times New Roman" w:eastAsia="仿宋_GB2312" w:cs="Times New Roman"/>
          <w:sz w:val="30"/>
          <w:szCs w:val="30"/>
        </w:rPr>
        <w:t>保证金冻结。</w:t>
      </w:r>
    </w:p>
    <w:p w14:paraId="431C7B5E">
      <w:pPr>
        <w:spacing w:line="360" w:lineRule="auto"/>
        <w:ind w:firstLine="600" w:firstLineChars="200"/>
        <w:rPr>
          <w:rFonts w:ascii="仿宋_GB2312" w:hAnsi="Times New Roman" w:eastAsia="仿宋_GB2312" w:cs="Times New Roman"/>
          <w:sz w:val="30"/>
          <w:szCs w:val="30"/>
        </w:rPr>
      </w:pPr>
      <w:r>
        <w:rPr>
          <w:rFonts w:hint="eastAsia" w:ascii="仿宋_GB2312" w:hAnsi="Times New Roman" w:eastAsia="仿宋_GB2312" w:cs="Times New Roman"/>
          <w:sz w:val="30"/>
          <w:szCs w:val="30"/>
        </w:rPr>
        <w:t>（一）会员通过中储粮网成功发布标的后，发布方会员保证金自动冻结。</w:t>
      </w:r>
    </w:p>
    <w:p w14:paraId="22C2FD83">
      <w:pPr>
        <w:spacing w:line="360" w:lineRule="auto"/>
        <w:ind w:firstLine="600" w:firstLineChars="200"/>
        <w:rPr>
          <w:rFonts w:ascii="仿宋_GB2312" w:hAnsi="Times New Roman" w:eastAsia="仿宋_GB2312" w:cs="Times New Roman"/>
          <w:sz w:val="30"/>
          <w:szCs w:val="30"/>
        </w:rPr>
      </w:pPr>
      <w:r>
        <w:rPr>
          <w:rFonts w:hint="eastAsia" w:ascii="仿宋_GB2312" w:hAnsi="Times New Roman" w:eastAsia="仿宋_GB2312" w:cs="Times New Roman"/>
          <w:sz w:val="30"/>
          <w:szCs w:val="30"/>
        </w:rPr>
        <w:t>（二）报价成功后，报价会员会员保证金自动冻结。</w:t>
      </w:r>
    </w:p>
    <w:p w14:paraId="50CAACA0">
      <w:pPr>
        <w:tabs>
          <w:tab w:val="left" w:pos="-180"/>
          <w:tab w:val="left" w:pos="1303"/>
        </w:tabs>
        <w:spacing w:line="360" w:lineRule="auto"/>
        <w:ind w:firstLine="602" w:firstLineChars="200"/>
        <w:rPr>
          <w:rFonts w:ascii="仿宋_GB2312" w:hAnsi="Times New Roman" w:eastAsia="仿宋_GB2312" w:cs="Times New Roman"/>
          <w:sz w:val="30"/>
          <w:szCs w:val="30"/>
        </w:rPr>
      </w:pPr>
      <w:r>
        <w:rPr>
          <w:rFonts w:hint="eastAsia" w:ascii="仿宋_GB2312" w:hAnsi="Times New Roman" w:eastAsia="仿宋_GB2312" w:cs="Times New Roman"/>
          <w:b/>
          <w:bCs/>
          <w:sz w:val="30"/>
          <w:szCs w:val="30"/>
        </w:rPr>
        <w:t xml:space="preserve">第二十九条 </w:t>
      </w:r>
      <w:r>
        <w:rPr>
          <w:rFonts w:hint="eastAsia" w:ascii="仿宋_GB2312" w:hAnsi="Times New Roman" w:eastAsia="仿宋_GB2312" w:cs="Times New Roman"/>
          <w:sz w:val="30"/>
          <w:szCs w:val="30"/>
        </w:rPr>
        <w:t>报价。</w:t>
      </w:r>
      <w:r>
        <w:rPr>
          <w:rFonts w:hint="eastAsia" w:ascii="仿宋_GB2312" w:hAnsi="宋体" w:eastAsia="仿宋_GB2312" w:cs="仿宋_GB2312"/>
          <w:spacing w:val="6"/>
          <w:kern w:val="0"/>
          <w:sz w:val="30"/>
          <w:szCs w:val="30"/>
        </w:rPr>
        <w:t>报价会员在规定的时间内，可根据</w:t>
      </w:r>
      <w:r>
        <w:rPr>
          <w:rFonts w:hint="eastAsia" w:ascii="仿宋_GB2312" w:hAnsi="宋体" w:eastAsia="仿宋_GB2312" w:cs="Times New Roman"/>
          <w:spacing w:val="6"/>
          <w:sz w:val="30"/>
          <w:szCs w:val="30"/>
        </w:rPr>
        <w:t>市场规律及自身情况对意向标的进行报价，</w:t>
      </w:r>
      <w:r>
        <w:rPr>
          <w:rFonts w:hint="eastAsia" w:ascii="仿宋_GB2312" w:hAnsi="Times New Roman" w:eastAsia="仿宋_GB2312" w:cs="Times New Roman"/>
          <w:sz w:val="30"/>
          <w:szCs w:val="30"/>
        </w:rPr>
        <w:t>报价金额可精确到小数点后1位。标的未成交之前，会员可撤销或重新报价。</w:t>
      </w:r>
    </w:p>
    <w:p w14:paraId="47768D00">
      <w:pPr>
        <w:tabs>
          <w:tab w:val="left" w:pos="-180"/>
          <w:tab w:val="left" w:pos="1303"/>
        </w:tabs>
        <w:spacing w:line="360" w:lineRule="auto"/>
        <w:ind w:firstLine="602" w:firstLineChars="200"/>
        <w:rPr>
          <w:rFonts w:ascii="仿宋_GB2312" w:hAnsi="Times New Roman" w:eastAsia="仿宋_GB2312" w:cs="Times New Roman"/>
          <w:sz w:val="30"/>
          <w:szCs w:val="30"/>
        </w:rPr>
      </w:pPr>
      <w:r>
        <w:rPr>
          <w:rFonts w:hint="eastAsia" w:ascii="仿宋_GB2312" w:hAnsi="Times New Roman" w:eastAsia="仿宋_GB2312" w:cs="Times New Roman"/>
          <w:b/>
          <w:bCs/>
          <w:sz w:val="30"/>
          <w:szCs w:val="30"/>
        </w:rPr>
        <w:t xml:space="preserve">第三十条 </w:t>
      </w:r>
      <w:r>
        <w:rPr>
          <w:rFonts w:hint="eastAsia" w:ascii="仿宋_GB2312" w:hAnsi="Times New Roman" w:eastAsia="仿宋_GB2312" w:cs="Times New Roman"/>
          <w:sz w:val="30"/>
          <w:szCs w:val="30"/>
        </w:rPr>
        <w:t>撤销或重新报价后，</w:t>
      </w:r>
      <w:r>
        <w:rPr>
          <w:rFonts w:ascii="仿宋_GB2312" w:hAnsi="宋体" w:eastAsia="仿宋_GB2312" w:cs="Times New Roman"/>
          <w:spacing w:val="6"/>
          <w:sz w:val="30"/>
          <w:szCs w:val="30"/>
        </w:rPr>
        <w:t>前一</w:t>
      </w:r>
      <w:r>
        <w:rPr>
          <w:rFonts w:hint="eastAsia" w:ascii="仿宋_GB2312" w:hAnsi="宋体" w:eastAsia="仿宋_GB2312" w:cs="Times New Roman"/>
          <w:spacing w:val="6"/>
          <w:sz w:val="30"/>
          <w:szCs w:val="30"/>
        </w:rPr>
        <w:t>报价</w:t>
      </w:r>
      <w:r>
        <w:rPr>
          <w:rFonts w:ascii="仿宋_GB2312" w:hAnsi="宋体" w:eastAsia="仿宋_GB2312" w:cs="Times New Roman"/>
          <w:spacing w:val="6"/>
          <w:sz w:val="30"/>
          <w:szCs w:val="30"/>
        </w:rPr>
        <w:t>自动失效</w:t>
      </w:r>
      <w:r>
        <w:rPr>
          <w:rFonts w:hint="eastAsia" w:ascii="仿宋_GB2312" w:hAnsi="宋体" w:eastAsia="仿宋_GB2312" w:cs="Times New Roman"/>
          <w:spacing w:val="6"/>
          <w:sz w:val="30"/>
          <w:szCs w:val="30"/>
        </w:rPr>
        <w:t>。在符合竞价规则和流程的前提下，最低有效报价为标的的成交价，该报价</w:t>
      </w:r>
      <w:r>
        <w:rPr>
          <w:rFonts w:hint="eastAsia" w:ascii="仿宋_GB2312" w:hAnsi="宋体" w:eastAsia="仿宋_GB2312" w:cs="仿宋_GB2312"/>
          <w:spacing w:val="6"/>
          <w:kern w:val="0"/>
          <w:sz w:val="30"/>
          <w:szCs w:val="30"/>
        </w:rPr>
        <w:t>会员</w:t>
      </w:r>
      <w:r>
        <w:rPr>
          <w:rFonts w:hint="eastAsia" w:ascii="仿宋_GB2312" w:hAnsi="宋体" w:eastAsia="仿宋_GB2312" w:cs="Times New Roman"/>
          <w:spacing w:val="6"/>
          <w:sz w:val="30"/>
          <w:szCs w:val="30"/>
        </w:rPr>
        <w:t>为标的的成交方。</w:t>
      </w:r>
    </w:p>
    <w:p w14:paraId="4E109106">
      <w:pPr>
        <w:tabs>
          <w:tab w:val="left" w:pos="-180"/>
          <w:tab w:val="left" w:pos="1303"/>
        </w:tabs>
        <w:spacing w:line="360" w:lineRule="auto"/>
        <w:ind w:firstLine="602" w:firstLineChars="200"/>
        <w:jc w:val="left"/>
        <w:rPr>
          <w:rFonts w:ascii="黑体" w:hAnsi="黑体" w:eastAsia="黑体" w:cs="Times New Roman"/>
          <w:color w:val="FF0000"/>
          <w:sz w:val="32"/>
          <w:szCs w:val="32"/>
        </w:rPr>
      </w:pPr>
      <w:r>
        <w:rPr>
          <w:rFonts w:hint="eastAsia" w:ascii="仿宋_GB2312" w:hAnsi="Times New Roman" w:eastAsia="仿宋_GB2312" w:cs="Times New Roman"/>
          <w:b/>
          <w:bCs/>
          <w:sz w:val="30"/>
          <w:szCs w:val="30"/>
        </w:rPr>
        <w:t xml:space="preserve">第三十一条 </w:t>
      </w:r>
      <w:r>
        <w:rPr>
          <w:rFonts w:hint="eastAsia" w:ascii="仿宋_GB2312" w:hAnsi="Times New Roman" w:eastAsia="仿宋_GB2312" w:cs="Times New Roman"/>
          <w:sz w:val="30"/>
          <w:szCs w:val="30"/>
        </w:rPr>
        <w:t>竞价专场进行期间，交易委托方无法撤销标的</w:t>
      </w:r>
      <w:r>
        <w:rPr>
          <w:rFonts w:hint="eastAsia" w:ascii="仿宋_GB2312" w:hAnsi="宋体" w:eastAsia="仿宋_GB2312" w:cs="Times New Roman"/>
          <w:spacing w:val="6"/>
          <w:sz w:val="30"/>
          <w:szCs w:val="30"/>
          <w:lang w:val="zh-CN"/>
        </w:rPr>
        <w:t>。</w:t>
      </w:r>
      <w:r>
        <w:rPr>
          <w:rFonts w:hint="eastAsia" w:ascii="仿宋_GB2312" w:hAnsi="宋体" w:eastAsia="仿宋_GB2312" w:cs="Times New Roman"/>
          <w:spacing w:val="6"/>
          <w:sz w:val="30"/>
          <w:szCs w:val="30"/>
        </w:rPr>
        <w:t>公开竞价</w:t>
      </w:r>
      <w:r>
        <w:rPr>
          <w:rFonts w:hint="eastAsia" w:ascii="仿宋_GB2312" w:hAnsi="宋体" w:eastAsia="仿宋_GB2312" w:cs="Times New Roman"/>
          <w:spacing w:val="6"/>
          <w:sz w:val="30"/>
          <w:szCs w:val="30"/>
          <w:lang w:val="zh-CN"/>
        </w:rPr>
        <w:t>专场中的标的</w:t>
      </w:r>
      <w:r>
        <w:rPr>
          <w:rFonts w:hint="eastAsia" w:ascii="仿宋_GB2312" w:hAnsi="宋体" w:eastAsia="仿宋_GB2312" w:cs="Times New Roman"/>
          <w:spacing w:val="6"/>
          <w:sz w:val="30"/>
          <w:szCs w:val="30"/>
        </w:rPr>
        <w:t>在有效竞价时间内无人报价或会员报价均高于拦标价时，系统自动撤销该笔交易，即为流拍。</w:t>
      </w:r>
      <w:bookmarkStart w:id="0" w:name="_Toc257277860"/>
      <w:bookmarkStart w:id="1" w:name="_Toc257121256"/>
    </w:p>
    <w:p w14:paraId="37F1F289">
      <w:pPr>
        <w:tabs>
          <w:tab w:val="left" w:pos="-180"/>
          <w:tab w:val="left" w:pos="1303"/>
        </w:tabs>
        <w:spacing w:line="360" w:lineRule="auto"/>
        <w:ind w:firstLine="602" w:firstLineChars="200"/>
        <w:rPr>
          <w:rFonts w:ascii="仿宋_GB2312" w:hAnsi="Times New Roman" w:eastAsia="仿宋_GB2312" w:cs="Times New Roman"/>
          <w:sz w:val="30"/>
          <w:szCs w:val="30"/>
        </w:rPr>
      </w:pPr>
      <w:r>
        <w:rPr>
          <w:rFonts w:hint="eastAsia" w:ascii="仿宋_GB2312" w:hAnsi="Times New Roman" w:eastAsia="仿宋_GB2312" w:cs="Times New Roman"/>
          <w:b/>
          <w:bCs/>
          <w:sz w:val="30"/>
          <w:szCs w:val="30"/>
        </w:rPr>
        <w:t xml:space="preserve">第三十二条 </w:t>
      </w:r>
      <w:r>
        <w:rPr>
          <w:rFonts w:hint="eastAsia" w:ascii="仿宋_GB2312" w:hAnsi="Times New Roman" w:eastAsia="仿宋_GB2312" w:cs="Times New Roman"/>
          <w:sz w:val="30"/>
          <w:szCs w:val="30"/>
        </w:rPr>
        <w:t>成交合同。成交合同是指会员通过中储粮网订立的电子交易合同，系统将根据交易标的数量、价格等信息自动生成电子合同。电子合同一经生成，即具有法律效力。双方签署电子签章后，合同方可执行，成交合同以电子文件形式供会员查询、导出、打印。</w:t>
      </w:r>
    </w:p>
    <w:p w14:paraId="71BB02F5">
      <w:pPr>
        <w:tabs>
          <w:tab w:val="left" w:pos="-180"/>
          <w:tab w:val="left" w:pos="1303"/>
        </w:tabs>
        <w:spacing w:line="360" w:lineRule="auto"/>
        <w:ind w:firstLine="602" w:firstLineChars="200"/>
        <w:rPr>
          <w:rFonts w:ascii="仿宋_GB2312" w:hAnsi="Times New Roman" w:eastAsia="仿宋_GB2312" w:cs="Times New Roman"/>
          <w:sz w:val="30"/>
          <w:szCs w:val="30"/>
        </w:rPr>
      </w:pPr>
      <w:r>
        <w:rPr>
          <w:rFonts w:hint="eastAsia" w:ascii="仿宋_GB2312" w:hAnsi="Times New Roman" w:eastAsia="仿宋_GB2312" w:cs="Times New Roman"/>
          <w:b/>
          <w:bCs/>
          <w:sz w:val="30"/>
          <w:szCs w:val="30"/>
        </w:rPr>
        <w:t xml:space="preserve">第三十三条 </w:t>
      </w:r>
      <w:r>
        <w:rPr>
          <w:rFonts w:hint="eastAsia" w:ascii="仿宋_GB2312" w:hAnsi="Times New Roman" w:eastAsia="仿宋_GB2312" w:cs="Times New Roman"/>
          <w:sz w:val="30"/>
          <w:szCs w:val="30"/>
        </w:rPr>
        <w:t>成交合同自双方于中储粮网成交之时起生效。</w:t>
      </w:r>
    </w:p>
    <w:p w14:paraId="6951EE63">
      <w:pPr>
        <w:tabs>
          <w:tab w:val="left" w:pos="-180"/>
        </w:tabs>
        <w:spacing w:line="360" w:lineRule="auto"/>
        <w:ind w:firstLine="602" w:firstLineChars="200"/>
        <w:rPr>
          <w:rFonts w:ascii="仿宋_GB2312" w:hAnsi="Times New Roman" w:eastAsia="仿宋_GB2312" w:cs="Times New Roman"/>
          <w:b/>
          <w:sz w:val="30"/>
          <w:szCs w:val="30"/>
        </w:rPr>
      </w:pPr>
    </w:p>
    <w:bookmarkEnd w:id="0"/>
    <w:bookmarkEnd w:id="1"/>
    <w:p w14:paraId="245BA198">
      <w:pPr>
        <w:tabs>
          <w:tab w:val="left" w:pos="0"/>
          <w:tab w:val="left" w:pos="1303"/>
        </w:tabs>
        <w:spacing w:line="360" w:lineRule="auto"/>
        <w:ind w:firstLine="755"/>
        <w:jc w:val="center"/>
        <w:rPr>
          <w:rFonts w:ascii="仿宋_GB2312" w:hAnsi="Times New Roman" w:eastAsia="仿宋_GB2312" w:cs="Times New Roman"/>
          <w:b/>
          <w:bCs/>
          <w:sz w:val="30"/>
          <w:szCs w:val="30"/>
        </w:rPr>
      </w:pPr>
      <w:r>
        <w:rPr>
          <w:rFonts w:hint="eastAsia" w:ascii="黑体" w:hAnsi="黑体" w:eastAsia="黑体" w:cs="Times New Roman"/>
          <w:sz w:val="32"/>
          <w:szCs w:val="32"/>
        </w:rPr>
        <w:t>第六章 交割结算</w:t>
      </w:r>
    </w:p>
    <w:p w14:paraId="25683FC4">
      <w:pPr>
        <w:tabs>
          <w:tab w:val="left" w:pos="0"/>
          <w:tab w:val="left" w:pos="1303"/>
        </w:tabs>
        <w:spacing w:line="360" w:lineRule="auto"/>
        <w:jc w:val="left"/>
        <w:rPr>
          <w:rFonts w:ascii="仿宋_GB2312" w:hAnsi="Times New Roman" w:eastAsia="仿宋_GB2312" w:cs="Times New Roman"/>
          <w:sz w:val="30"/>
          <w:szCs w:val="30"/>
        </w:rPr>
      </w:pPr>
      <w:r>
        <w:rPr>
          <w:rFonts w:hint="eastAsia" w:ascii="仿宋_GB2312" w:hAnsi="Times New Roman" w:eastAsia="仿宋_GB2312" w:cs="Times New Roman"/>
          <w:b/>
          <w:bCs/>
          <w:sz w:val="30"/>
          <w:szCs w:val="30"/>
        </w:rPr>
        <w:t xml:space="preserve">    第三十四条 </w:t>
      </w:r>
      <w:r>
        <w:rPr>
          <w:rFonts w:hint="eastAsia" w:ascii="仿宋_GB2312" w:hAnsi="Times New Roman" w:eastAsia="仿宋_GB2312" w:cs="Times New Roman"/>
          <w:sz w:val="30"/>
          <w:szCs w:val="30"/>
        </w:rPr>
        <w:t>交易手续费。此次专场竞价交易免交易手续费，但出现违约行为的按第七章违约相关规定执行。</w:t>
      </w:r>
    </w:p>
    <w:p w14:paraId="4BC80005">
      <w:pPr>
        <w:tabs>
          <w:tab w:val="left" w:pos="-180"/>
          <w:tab w:val="left" w:pos="1303"/>
        </w:tabs>
        <w:spacing w:line="360" w:lineRule="auto"/>
        <w:ind w:firstLine="602" w:firstLineChars="200"/>
        <w:rPr>
          <w:rFonts w:ascii="仿宋_GB2312" w:hAnsi="Times New Roman" w:eastAsia="仿宋_GB2312" w:cs="Times New Roman"/>
          <w:sz w:val="30"/>
          <w:szCs w:val="30"/>
        </w:rPr>
      </w:pPr>
      <w:r>
        <w:rPr>
          <w:rFonts w:hint="eastAsia" w:ascii="仿宋_GB2312" w:hAnsi="Times New Roman" w:eastAsia="仿宋_GB2312" w:cs="Times New Roman"/>
          <w:b/>
          <w:bCs/>
          <w:sz w:val="30"/>
          <w:szCs w:val="30"/>
        </w:rPr>
        <w:t xml:space="preserve">第三十五条 </w:t>
      </w:r>
      <w:r>
        <w:rPr>
          <w:rFonts w:hint="eastAsia" w:ascii="仿宋_GB2312" w:hAnsi="Times New Roman" w:eastAsia="仿宋_GB2312" w:cs="Times New Roman"/>
          <w:sz w:val="30"/>
          <w:szCs w:val="30"/>
        </w:rPr>
        <w:t>运输款项支付。运输款项由委托方与承运方在中储粮网进行结算，采取直接支付方式支付给承运方会员中储粮网资金托管账户。</w:t>
      </w:r>
    </w:p>
    <w:p w14:paraId="46DAD9B4">
      <w:pPr>
        <w:tabs>
          <w:tab w:val="left" w:pos="-180"/>
          <w:tab w:val="left" w:pos="1303"/>
        </w:tabs>
        <w:spacing w:line="360" w:lineRule="auto"/>
        <w:ind w:firstLine="602" w:firstLineChars="200"/>
        <w:rPr>
          <w:rFonts w:ascii="仿宋_GB2312" w:hAnsi="Times New Roman" w:eastAsia="仿宋_GB2312" w:cs="Times New Roman"/>
          <w:sz w:val="30"/>
          <w:szCs w:val="30"/>
        </w:rPr>
      </w:pPr>
      <w:r>
        <w:rPr>
          <w:rFonts w:hint="eastAsia" w:ascii="仿宋_GB2312" w:hAnsi="Times New Roman" w:eastAsia="仿宋_GB2312" w:cs="Times New Roman"/>
          <w:b/>
          <w:bCs/>
          <w:sz w:val="30"/>
          <w:szCs w:val="30"/>
        </w:rPr>
        <w:t xml:space="preserve">第三十六条 </w:t>
      </w:r>
      <w:r>
        <w:rPr>
          <w:rFonts w:hint="eastAsia" w:ascii="仿宋_GB2312" w:hAnsi="Times New Roman" w:eastAsia="仿宋_GB2312" w:cs="Times New Roman"/>
          <w:sz w:val="30"/>
          <w:szCs w:val="30"/>
        </w:rPr>
        <w:t>发货。交易委托方按照成交合同约定的发货方式和货物包装方式安排发运。在发运后，需在中储粮网进行“安排发运”操作。</w:t>
      </w:r>
    </w:p>
    <w:p w14:paraId="7C6938BB">
      <w:pPr>
        <w:tabs>
          <w:tab w:val="left" w:pos="-180"/>
          <w:tab w:val="left" w:pos="1303"/>
        </w:tabs>
        <w:spacing w:line="360" w:lineRule="auto"/>
        <w:ind w:firstLine="602" w:firstLineChars="200"/>
        <w:rPr>
          <w:rFonts w:ascii="仿宋_GB2312" w:hAnsi="Times New Roman" w:eastAsia="仿宋_GB2312" w:cs="Times New Roman"/>
          <w:sz w:val="30"/>
          <w:szCs w:val="30"/>
        </w:rPr>
      </w:pPr>
      <w:r>
        <w:rPr>
          <w:rFonts w:hint="eastAsia" w:ascii="仿宋_GB2312" w:hAnsi="Times New Roman" w:eastAsia="仿宋_GB2312" w:cs="Times New Roman"/>
          <w:b/>
          <w:bCs/>
          <w:sz w:val="30"/>
          <w:szCs w:val="30"/>
        </w:rPr>
        <w:t xml:space="preserve">第三十七条 </w:t>
      </w:r>
      <w:r>
        <w:rPr>
          <w:rFonts w:hint="eastAsia" w:ascii="仿宋_GB2312" w:hAnsi="Times New Roman" w:eastAsia="仿宋_GB2312" w:cs="Times New Roman"/>
          <w:sz w:val="30"/>
          <w:szCs w:val="30"/>
        </w:rPr>
        <w:t>期限。物流服务的交易期限分为“提货期限”和“运输期限”，原则上按照双方合同约定执行，如有特殊情况，双方可以协商在中储粮网申请合同期限变更。</w:t>
      </w:r>
    </w:p>
    <w:p w14:paraId="319E354A">
      <w:pPr>
        <w:widowControl/>
        <w:tabs>
          <w:tab w:val="left" w:pos="-180"/>
          <w:tab w:val="left" w:pos="1303"/>
        </w:tabs>
        <w:spacing w:line="360" w:lineRule="auto"/>
        <w:ind w:firstLine="602" w:firstLineChars="200"/>
        <w:rPr>
          <w:rFonts w:ascii="仿宋_GB2312" w:hAnsi="Times New Roman" w:eastAsia="仿宋_GB2312" w:cs="Times New Roman"/>
          <w:sz w:val="30"/>
          <w:szCs w:val="30"/>
        </w:rPr>
      </w:pPr>
      <w:r>
        <w:rPr>
          <w:rFonts w:hint="eastAsia" w:ascii="仿宋_GB2312" w:hAnsi="Times New Roman" w:eastAsia="仿宋_GB2312" w:cs="Times New Roman"/>
          <w:b/>
          <w:bCs/>
          <w:sz w:val="30"/>
          <w:szCs w:val="30"/>
        </w:rPr>
        <w:t xml:space="preserve">第三十八条 </w:t>
      </w:r>
      <w:r>
        <w:rPr>
          <w:rFonts w:hint="eastAsia" w:ascii="仿宋_GB2312" w:hAnsi="Times New Roman" w:eastAsia="仿宋_GB2312" w:cs="Times New Roman"/>
          <w:sz w:val="30"/>
          <w:szCs w:val="30"/>
        </w:rPr>
        <w:t>货物验收与确认。委托方以实际储存库点磅单数对接收数量进行验收确认，并在中储粮网进行“验收确认”操作；承运方以实际储存库点磅单数对接收数量进行验收确认，同样在中储粮网进行“验收确认”操作。</w:t>
      </w:r>
    </w:p>
    <w:p w14:paraId="445F7C96">
      <w:pPr>
        <w:tabs>
          <w:tab w:val="left" w:pos="-180"/>
          <w:tab w:val="left" w:pos="1303"/>
        </w:tabs>
        <w:spacing w:line="360" w:lineRule="auto"/>
        <w:ind w:firstLine="602" w:firstLineChars="200"/>
        <w:rPr>
          <w:rFonts w:ascii="仿宋_GB2312" w:hAnsi="Times New Roman" w:eastAsia="仿宋_GB2312" w:cs="Times New Roman"/>
          <w:sz w:val="30"/>
          <w:szCs w:val="30"/>
        </w:rPr>
      </w:pPr>
      <w:r>
        <w:rPr>
          <w:rFonts w:hint="eastAsia" w:ascii="仿宋_GB2312" w:hAnsi="Times New Roman" w:eastAsia="仿宋_GB2312" w:cs="Times New Roman"/>
          <w:b/>
          <w:bCs/>
          <w:sz w:val="30"/>
          <w:szCs w:val="30"/>
        </w:rPr>
        <w:t xml:space="preserve">第三十九条 </w:t>
      </w:r>
      <w:r>
        <w:rPr>
          <w:rFonts w:hint="eastAsia" w:ascii="仿宋_GB2312" w:hAnsi="Times New Roman" w:eastAsia="仿宋_GB2312" w:cs="Times New Roman"/>
          <w:sz w:val="30"/>
          <w:szCs w:val="30"/>
        </w:rPr>
        <w:t>交易结算。委托方或承运方会员在中储粮网提交“申请完结”操作，另一方同意后，中储粮网将会员保证金自动释放至交易双方会员的资金账户内。承运方会员原则上在运输完结后及时根据国家有关政策规定开具正规发票。</w:t>
      </w:r>
    </w:p>
    <w:p w14:paraId="008D5A00">
      <w:pPr>
        <w:widowControl/>
        <w:tabs>
          <w:tab w:val="left" w:pos="-180"/>
          <w:tab w:val="left" w:pos="1303"/>
        </w:tabs>
        <w:spacing w:line="360" w:lineRule="auto"/>
        <w:ind w:firstLine="602" w:firstLineChars="200"/>
        <w:rPr>
          <w:rFonts w:ascii="仿宋_GB2312" w:hAnsi="Times New Roman" w:eastAsia="仿宋_GB2312" w:cs="Times New Roman"/>
          <w:sz w:val="30"/>
          <w:szCs w:val="30"/>
        </w:rPr>
      </w:pPr>
      <w:r>
        <w:rPr>
          <w:rFonts w:hint="eastAsia" w:ascii="仿宋_GB2312" w:hAnsi="Times New Roman" w:eastAsia="仿宋_GB2312" w:cs="Times New Roman"/>
          <w:b/>
          <w:bCs/>
          <w:sz w:val="30"/>
          <w:szCs w:val="30"/>
        </w:rPr>
        <w:t>第四十条</w:t>
      </w:r>
      <w:r>
        <w:rPr>
          <w:rFonts w:hint="eastAsia" w:ascii="仿宋_GB2312" w:hAnsi="Times New Roman" w:eastAsia="仿宋_GB2312" w:cs="Times New Roman"/>
          <w:sz w:val="30"/>
          <w:szCs w:val="30"/>
        </w:rPr>
        <w:t xml:space="preserve"> 商务事宜处理。运输过程中发生争议的，交易双方须积极协调解决，如因货物质量问题引起争议的，委托方要做好样品化验，留存化验结果作为后续处理依据。如协商无法达成一致，根据实际情况，协调相关部门解决。</w:t>
      </w:r>
    </w:p>
    <w:p w14:paraId="6FBC8C54">
      <w:pPr>
        <w:tabs>
          <w:tab w:val="left" w:pos="-180"/>
          <w:tab w:val="left" w:pos="1303"/>
        </w:tabs>
        <w:spacing w:line="360" w:lineRule="auto"/>
        <w:ind w:firstLine="602" w:firstLineChars="200"/>
        <w:rPr>
          <w:rFonts w:ascii="仿宋_GB2312" w:hAnsi="Times New Roman" w:eastAsia="仿宋_GB2312" w:cs="Times New Roman"/>
          <w:sz w:val="30"/>
          <w:szCs w:val="30"/>
        </w:rPr>
      </w:pPr>
      <w:r>
        <w:rPr>
          <w:rFonts w:hint="eastAsia" w:ascii="仿宋_GB2312" w:hAnsi="Times New Roman" w:eastAsia="仿宋_GB2312" w:cs="Times New Roman"/>
          <w:b/>
          <w:bCs/>
          <w:sz w:val="30"/>
          <w:szCs w:val="30"/>
        </w:rPr>
        <w:t xml:space="preserve">第四十一条 </w:t>
      </w:r>
      <w:r>
        <w:rPr>
          <w:rFonts w:hint="eastAsia" w:ascii="仿宋_GB2312" w:hAnsi="Times New Roman" w:eastAsia="仿宋_GB2312" w:cs="Times New Roman"/>
          <w:sz w:val="30"/>
          <w:szCs w:val="30"/>
        </w:rPr>
        <w:t>解约。交易双方经协商均同意终止合同时，由其中一方在中储粮网中提出合同终止申请，另外一方确认即可解约。</w:t>
      </w:r>
    </w:p>
    <w:p w14:paraId="4D1080FA">
      <w:pPr>
        <w:tabs>
          <w:tab w:val="left" w:pos="-180"/>
          <w:tab w:val="left" w:pos="1303"/>
        </w:tabs>
        <w:spacing w:line="360" w:lineRule="auto"/>
        <w:ind w:firstLine="602" w:firstLineChars="200"/>
        <w:rPr>
          <w:rFonts w:ascii="仿宋_GB2312" w:hAnsi="Times New Roman" w:eastAsia="仿宋_GB2312" w:cs="Times New Roman"/>
          <w:sz w:val="30"/>
          <w:szCs w:val="30"/>
        </w:rPr>
      </w:pPr>
      <w:r>
        <w:rPr>
          <w:rFonts w:hint="eastAsia" w:ascii="仿宋_GB2312" w:hAnsi="Times New Roman" w:eastAsia="仿宋_GB2312" w:cs="Times New Roman"/>
          <w:b/>
          <w:bCs/>
          <w:sz w:val="30"/>
          <w:szCs w:val="30"/>
        </w:rPr>
        <w:t xml:space="preserve">第四十二条 </w:t>
      </w:r>
      <w:r>
        <w:rPr>
          <w:rFonts w:hint="eastAsia" w:ascii="仿宋_GB2312" w:hAnsi="Times New Roman" w:eastAsia="仿宋_GB2312" w:cs="Times New Roman"/>
          <w:sz w:val="30"/>
          <w:szCs w:val="30"/>
        </w:rPr>
        <w:t>会员出金。会员如需将中储粮网会员资金托管账户可用资金转至企业指定出金银行账户，需在中储粮网提交在线出金申请。在银行工作时间内，原则上资金将实时转出，如遇特殊情况，延时最长不超过2个工作日。</w:t>
      </w:r>
    </w:p>
    <w:p w14:paraId="39E1E369">
      <w:pPr>
        <w:tabs>
          <w:tab w:val="left" w:pos="-180"/>
        </w:tabs>
        <w:spacing w:line="360" w:lineRule="auto"/>
        <w:jc w:val="left"/>
        <w:rPr>
          <w:rFonts w:ascii="黑体" w:hAnsi="黑体" w:eastAsia="黑体" w:cs="Times New Roman"/>
          <w:sz w:val="32"/>
          <w:szCs w:val="32"/>
        </w:rPr>
      </w:pPr>
    </w:p>
    <w:p w14:paraId="1EFC0F21">
      <w:pPr>
        <w:tabs>
          <w:tab w:val="left" w:pos="-180"/>
        </w:tabs>
        <w:spacing w:line="360" w:lineRule="auto"/>
        <w:jc w:val="center"/>
        <w:rPr>
          <w:rFonts w:ascii="黑体" w:hAnsi="黑体" w:eastAsia="黑体" w:cs="Times New Roman"/>
          <w:sz w:val="32"/>
          <w:szCs w:val="32"/>
        </w:rPr>
      </w:pPr>
      <w:r>
        <w:rPr>
          <w:rFonts w:hint="eastAsia" w:ascii="黑体" w:hAnsi="黑体" w:eastAsia="黑体" w:cs="Times New Roman"/>
          <w:sz w:val="32"/>
          <w:szCs w:val="32"/>
        </w:rPr>
        <w:t>第七章 违约行为及处理</w:t>
      </w:r>
    </w:p>
    <w:p w14:paraId="50363924">
      <w:pPr>
        <w:tabs>
          <w:tab w:val="left" w:pos="-180"/>
          <w:tab w:val="left" w:pos="1303"/>
        </w:tabs>
        <w:spacing w:line="360" w:lineRule="auto"/>
        <w:ind w:firstLine="602" w:firstLineChars="200"/>
        <w:rPr>
          <w:rFonts w:ascii="仿宋_GB2312" w:hAnsi="Times New Roman" w:eastAsia="仿宋_GB2312" w:cs="Times New Roman"/>
          <w:sz w:val="30"/>
          <w:szCs w:val="30"/>
        </w:rPr>
      </w:pPr>
      <w:r>
        <w:rPr>
          <w:rFonts w:hint="eastAsia" w:ascii="仿宋_GB2312" w:hAnsi="Times New Roman" w:eastAsia="仿宋_GB2312" w:cs="Times New Roman"/>
          <w:b/>
          <w:bCs/>
          <w:sz w:val="30"/>
          <w:szCs w:val="30"/>
        </w:rPr>
        <w:t xml:space="preserve">第四十三条 </w:t>
      </w:r>
      <w:r>
        <w:rPr>
          <w:rFonts w:hint="eastAsia" w:ascii="仿宋_GB2312" w:hAnsi="Times New Roman" w:eastAsia="仿宋_GB2312" w:cs="Times New Roman"/>
          <w:sz w:val="30"/>
          <w:szCs w:val="30"/>
        </w:rPr>
        <w:t>违约是指会员违反《中储粮网物流服务交易细则》及双方签订的合同或中储粮网相关规定的行为。包括但不限于：</w:t>
      </w:r>
    </w:p>
    <w:p w14:paraId="6F3EB438">
      <w:pPr>
        <w:tabs>
          <w:tab w:val="left" w:pos="-180"/>
          <w:tab w:val="left" w:pos="1303"/>
        </w:tabs>
        <w:spacing w:line="360" w:lineRule="auto"/>
        <w:ind w:firstLine="600" w:firstLineChars="200"/>
        <w:rPr>
          <w:rFonts w:ascii="仿宋_GB2312" w:hAnsi="Times New Roman" w:eastAsia="仿宋_GB2312" w:cs="Times New Roman"/>
          <w:sz w:val="30"/>
          <w:szCs w:val="30"/>
        </w:rPr>
      </w:pPr>
      <w:r>
        <w:rPr>
          <w:rFonts w:hint="eastAsia" w:ascii="仿宋_GB2312" w:hAnsi="Times New Roman" w:eastAsia="仿宋_GB2312" w:cs="Times New Roman"/>
          <w:sz w:val="30"/>
          <w:szCs w:val="30"/>
        </w:rPr>
        <w:t>（一）交易双方不履行或不完全履行成交合同义务的行为。</w:t>
      </w:r>
    </w:p>
    <w:p w14:paraId="02D3A65A">
      <w:pPr>
        <w:tabs>
          <w:tab w:val="left" w:pos="-180"/>
        </w:tabs>
        <w:spacing w:line="360" w:lineRule="auto"/>
        <w:ind w:firstLine="600" w:firstLineChars="200"/>
        <w:rPr>
          <w:rFonts w:ascii="仿宋_GB2312" w:hAnsi="Times New Roman" w:eastAsia="仿宋_GB2312" w:cs="Times New Roman"/>
          <w:sz w:val="30"/>
          <w:szCs w:val="30"/>
        </w:rPr>
      </w:pPr>
      <w:r>
        <w:rPr>
          <w:rFonts w:hint="eastAsia" w:ascii="仿宋_GB2312" w:hAnsi="Times New Roman" w:eastAsia="仿宋_GB2312" w:cs="Times New Roman"/>
          <w:sz w:val="30"/>
          <w:szCs w:val="30"/>
        </w:rPr>
        <w:t>（二）进行虚假交易，恶意串通操纵价格或竞价过程。</w:t>
      </w:r>
    </w:p>
    <w:p w14:paraId="17633A13">
      <w:pPr>
        <w:tabs>
          <w:tab w:val="left" w:pos="-180"/>
        </w:tabs>
        <w:spacing w:line="360" w:lineRule="auto"/>
        <w:ind w:firstLine="600" w:firstLineChars="200"/>
        <w:rPr>
          <w:rFonts w:ascii="仿宋_GB2312" w:hAnsi="Times New Roman" w:eastAsia="仿宋_GB2312" w:cs="Times New Roman"/>
          <w:sz w:val="30"/>
          <w:szCs w:val="30"/>
        </w:rPr>
      </w:pPr>
      <w:r>
        <w:rPr>
          <w:rFonts w:hint="eastAsia" w:ascii="仿宋_GB2312" w:hAnsi="Times New Roman" w:eastAsia="仿宋_GB2312" w:cs="Times New Roman"/>
          <w:sz w:val="30"/>
          <w:szCs w:val="30"/>
        </w:rPr>
        <w:t>（三）违反中储粮网各项规则、细则及管理办法的行为。</w:t>
      </w:r>
    </w:p>
    <w:p w14:paraId="0A9D9DBC">
      <w:pPr>
        <w:tabs>
          <w:tab w:val="left" w:pos="-180"/>
        </w:tabs>
        <w:spacing w:line="360" w:lineRule="auto"/>
        <w:ind w:firstLine="600" w:firstLineChars="200"/>
        <w:rPr>
          <w:rFonts w:ascii="仿宋_GB2312" w:hAnsi="Times New Roman" w:eastAsia="仿宋_GB2312" w:cs="Times New Roman"/>
          <w:sz w:val="30"/>
          <w:szCs w:val="30"/>
        </w:rPr>
      </w:pPr>
      <w:r>
        <w:rPr>
          <w:rFonts w:hint="eastAsia" w:ascii="仿宋_GB2312" w:hAnsi="Times New Roman" w:eastAsia="仿宋_GB2312" w:cs="Times New Roman"/>
          <w:sz w:val="30"/>
          <w:szCs w:val="30"/>
        </w:rPr>
        <w:t>（四）恶意攻击中储粮网，危及中储粮网安全，发表负面言论对其他会员造成误导。</w:t>
      </w:r>
    </w:p>
    <w:p w14:paraId="06D58F71">
      <w:pPr>
        <w:tabs>
          <w:tab w:val="left" w:pos="-180"/>
        </w:tabs>
        <w:spacing w:line="360" w:lineRule="auto"/>
        <w:ind w:firstLine="600" w:firstLineChars="200"/>
        <w:rPr>
          <w:rFonts w:ascii="仿宋_GB2312" w:hAnsi="Times New Roman" w:eastAsia="仿宋_GB2312" w:cs="Times New Roman"/>
          <w:sz w:val="30"/>
          <w:szCs w:val="30"/>
        </w:rPr>
      </w:pPr>
      <w:r>
        <w:rPr>
          <w:rFonts w:hint="eastAsia" w:ascii="仿宋_GB2312" w:hAnsi="Times New Roman" w:eastAsia="仿宋_GB2312" w:cs="Times New Roman"/>
          <w:sz w:val="30"/>
          <w:szCs w:val="30"/>
        </w:rPr>
        <w:t>（五）承运方所派遣的运输工具不符合海关、海事、交管、路政等部门的相关规定。</w:t>
      </w:r>
    </w:p>
    <w:p w14:paraId="34D2253E">
      <w:pPr>
        <w:tabs>
          <w:tab w:val="left" w:pos="-180"/>
          <w:tab w:val="left" w:pos="1303"/>
        </w:tabs>
        <w:spacing w:line="360" w:lineRule="auto"/>
        <w:ind w:firstLine="602" w:firstLineChars="200"/>
        <w:rPr>
          <w:rFonts w:ascii="仿宋_GB2312" w:hAnsi="Times New Roman" w:eastAsia="仿宋_GB2312" w:cs="Times New Roman"/>
          <w:sz w:val="30"/>
          <w:szCs w:val="30"/>
        </w:rPr>
      </w:pPr>
      <w:r>
        <w:rPr>
          <w:rFonts w:hint="eastAsia" w:ascii="仿宋_GB2312" w:hAnsi="Times New Roman" w:eastAsia="仿宋_GB2312" w:cs="Times New Roman"/>
          <w:b/>
          <w:bCs/>
          <w:sz w:val="30"/>
          <w:szCs w:val="30"/>
        </w:rPr>
        <w:t xml:space="preserve">第四十四条 </w:t>
      </w:r>
      <w:r>
        <w:rPr>
          <w:rFonts w:hint="eastAsia" w:ascii="仿宋_GB2312" w:hAnsi="Times New Roman" w:eastAsia="仿宋_GB2312" w:cs="Times New Roman"/>
          <w:sz w:val="30"/>
          <w:szCs w:val="30"/>
        </w:rPr>
        <w:t>违约处理办法</w:t>
      </w:r>
    </w:p>
    <w:p w14:paraId="5505D8B9">
      <w:pPr>
        <w:spacing w:line="360" w:lineRule="auto"/>
        <w:ind w:firstLine="600" w:firstLineChars="200"/>
        <w:rPr>
          <w:rFonts w:ascii="仿宋_GB2312" w:hAnsi="Times New Roman" w:eastAsia="仿宋_GB2312" w:cs="Times New Roman"/>
          <w:sz w:val="30"/>
          <w:szCs w:val="30"/>
        </w:rPr>
      </w:pPr>
      <w:r>
        <w:rPr>
          <w:rFonts w:hint="eastAsia" w:ascii="仿宋_GB2312" w:hAnsi="Times New Roman" w:eastAsia="仿宋_GB2312" w:cs="Times New Roman"/>
          <w:sz w:val="30"/>
          <w:szCs w:val="30"/>
        </w:rPr>
        <w:t>（一）对违约行为，中储粮网对会员依次进行提示、劝告、扣除其相应的保证金，对多次、严重或恶意违约的会员，将取消其会员资格，并追究相关责任。</w:t>
      </w:r>
    </w:p>
    <w:p w14:paraId="708C2DEE">
      <w:pPr>
        <w:tabs>
          <w:tab w:val="left" w:pos="-180"/>
        </w:tabs>
        <w:spacing w:line="360" w:lineRule="auto"/>
        <w:ind w:firstLine="600" w:firstLineChars="200"/>
        <w:rPr>
          <w:rFonts w:ascii="仿宋_GB2312" w:hAnsi="Times New Roman" w:eastAsia="仿宋_GB2312" w:cs="Times New Roman"/>
          <w:sz w:val="30"/>
          <w:szCs w:val="30"/>
        </w:rPr>
      </w:pPr>
      <w:r>
        <w:rPr>
          <w:rFonts w:hint="eastAsia" w:ascii="仿宋_GB2312" w:hAnsi="Times New Roman" w:eastAsia="仿宋_GB2312" w:cs="Times New Roman"/>
          <w:sz w:val="30"/>
          <w:szCs w:val="30"/>
        </w:rPr>
        <w:t>（二）中储粮网有权对涉及违约会员的保证金进行清算，按照合同违约执行标准将其相应的履约保证金划转至守约方账户，守约方相应资金予以退还，并将清算结果通知双方。</w:t>
      </w:r>
    </w:p>
    <w:p w14:paraId="71A494F2">
      <w:pPr>
        <w:tabs>
          <w:tab w:val="left" w:pos="-180"/>
        </w:tabs>
        <w:spacing w:line="360" w:lineRule="auto"/>
        <w:ind w:firstLine="600" w:firstLineChars="200"/>
        <w:rPr>
          <w:rFonts w:ascii="仿宋_GB2312" w:hAnsi="Times New Roman" w:eastAsia="仿宋_GB2312" w:cs="Times New Roman"/>
          <w:sz w:val="30"/>
          <w:szCs w:val="30"/>
        </w:rPr>
      </w:pPr>
      <w:r>
        <w:rPr>
          <w:rFonts w:hint="eastAsia" w:ascii="仿宋_GB2312" w:hAnsi="Times New Roman" w:eastAsia="仿宋_GB2312" w:cs="Times New Roman"/>
          <w:sz w:val="30"/>
          <w:szCs w:val="30"/>
        </w:rPr>
        <w:t>（三）守约方发起合同违约终止的，违约方需在</w:t>
      </w:r>
      <w:r>
        <w:rPr>
          <w:rFonts w:ascii="仿宋_GB2312" w:hAnsi="Times New Roman" w:eastAsia="仿宋_GB2312" w:cs="Times New Roman"/>
          <w:sz w:val="30"/>
          <w:szCs w:val="30"/>
        </w:rPr>
        <w:t>10</w:t>
      </w:r>
      <w:r>
        <w:rPr>
          <w:rFonts w:hint="eastAsia" w:ascii="仿宋_GB2312" w:hAnsi="Times New Roman" w:eastAsia="仿宋_GB2312" w:cs="Times New Roman"/>
          <w:sz w:val="30"/>
          <w:szCs w:val="30"/>
        </w:rPr>
        <w:t>个自然日内在中储粮网进行确认；超期未确认且未提出书面异议的视同同意违约终止，中储粮网按违约流程处理。</w:t>
      </w:r>
    </w:p>
    <w:p w14:paraId="274ACB87">
      <w:pPr>
        <w:tabs>
          <w:tab w:val="left" w:pos="-180"/>
        </w:tabs>
        <w:spacing w:line="360" w:lineRule="auto"/>
        <w:ind w:firstLine="600" w:firstLineChars="200"/>
        <w:rPr>
          <w:rFonts w:ascii="仿宋_GB2312" w:hAnsi="Times New Roman" w:eastAsia="仿宋_GB2312" w:cs="Times New Roman"/>
          <w:sz w:val="30"/>
          <w:szCs w:val="30"/>
        </w:rPr>
      </w:pPr>
      <w:r>
        <w:rPr>
          <w:rFonts w:hint="eastAsia" w:ascii="仿宋_GB2312" w:hAnsi="Times New Roman" w:eastAsia="仿宋_GB2312" w:cs="Times New Roman"/>
          <w:sz w:val="30"/>
          <w:szCs w:val="30"/>
        </w:rPr>
        <w:t>（四）对于存在虚假交易、恶意交易行为的，其保证金将由中储粮网作为违约金直接全额划转至中储粮网账户。</w:t>
      </w:r>
    </w:p>
    <w:p w14:paraId="4F89CE0A">
      <w:pPr>
        <w:tabs>
          <w:tab w:val="left" w:pos="-180"/>
        </w:tabs>
        <w:spacing w:line="360" w:lineRule="auto"/>
        <w:ind w:firstLine="602" w:firstLineChars="200"/>
        <w:rPr>
          <w:rFonts w:ascii="仿宋_GB2312" w:hAnsi="Times New Roman" w:eastAsia="仿宋_GB2312" w:cs="Times New Roman"/>
          <w:sz w:val="30"/>
          <w:szCs w:val="30"/>
        </w:rPr>
      </w:pPr>
      <w:r>
        <w:rPr>
          <w:rFonts w:hint="eastAsia" w:ascii="仿宋_GB2312" w:hAnsi="Times New Roman" w:eastAsia="仿宋_GB2312" w:cs="Times New Roman"/>
          <w:b/>
          <w:bCs/>
          <w:sz w:val="30"/>
          <w:szCs w:val="30"/>
        </w:rPr>
        <w:t xml:space="preserve">第四十五条 </w:t>
      </w:r>
      <w:r>
        <w:rPr>
          <w:rFonts w:hint="eastAsia" w:ascii="仿宋_GB2312" w:hAnsi="Times New Roman" w:eastAsia="仿宋_GB2312" w:cs="Times New Roman"/>
          <w:sz w:val="30"/>
          <w:szCs w:val="30"/>
        </w:rPr>
        <w:t>中储粮收取的交易手续费，不因双方解约、违约或变更合同条款而退还。</w:t>
      </w:r>
    </w:p>
    <w:p w14:paraId="50ACBBC7">
      <w:pPr>
        <w:spacing w:line="360" w:lineRule="auto"/>
        <w:ind w:firstLine="600" w:firstLineChars="200"/>
        <w:rPr>
          <w:rFonts w:ascii="仿宋_GB2312" w:hAnsi="Times New Roman" w:eastAsia="仿宋_GB2312" w:cs="Times New Roman"/>
          <w:sz w:val="30"/>
          <w:szCs w:val="30"/>
        </w:rPr>
      </w:pPr>
    </w:p>
    <w:p w14:paraId="0C543DC0">
      <w:pPr>
        <w:tabs>
          <w:tab w:val="left" w:pos="-180"/>
        </w:tabs>
        <w:spacing w:line="360" w:lineRule="auto"/>
        <w:jc w:val="center"/>
        <w:rPr>
          <w:rFonts w:ascii="黑体" w:hAnsi="黑体" w:eastAsia="黑体" w:cs="Times New Roman"/>
          <w:sz w:val="32"/>
          <w:szCs w:val="32"/>
        </w:rPr>
      </w:pPr>
      <w:r>
        <w:rPr>
          <w:rFonts w:hint="eastAsia" w:ascii="黑体" w:hAnsi="黑体" w:eastAsia="黑体" w:cs="Times New Roman"/>
          <w:sz w:val="32"/>
          <w:szCs w:val="32"/>
        </w:rPr>
        <w:t>第八章  风险提示</w:t>
      </w:r>
    </w:p>
    <w:p w14:paraId="54A8E628">
      <w:pPr>
        <w:tabs>
          <w:tab w:val="left" w:pos="-180"/>
          <w:tab w:val="left" w:pos="1303"/>
        </w:tabs>
        <w:spacing w:line="360" w:lineRule="auto"/>
        <w:ind w:firstLine="602" w:firstLineChars="200"/>
        <w:rPr>
          <w:rFonts w:ascii="仿宋_GB2312" w:hAnsi="Times New Roman" w:eastAsia="仿宋_GB2312" w:cs="Times New Roman"/>
          <w:sz w:val="30"/>
          <w:szCs w:val="30"/>
        </w:rPr>
      </w:pPr>
      <w:r>
        <w:rPr>
          <w:rFonts w:hint="eastAsia" w:ascii="仿宋_GB2312" w:hAnsi="Times New Roman" w:eastAsia="仿宋_GB2312" w:cs="Times New Roman"/>
          <w:b/>
          <w:bCs/>
          <w:sz w:val="30"/>
          <w:szCs w:val="30"/>
        </w:rPr>
        <w:t xml:space="preserve">第四十六条 </w:t>
      </w:r>
      <w:r>
        <w:rPr>
          <w:rFonts w:hint="eastAsia" w:ascii="仿宋_GB2312" w:hAnsi="Times New Roman" w:eastAsia="仿宋_GB2312" w:cs="Times New Roman"/>
          <w:sz w:val="30"/>
          <w:szCs w:val="30"/>
        </w:rPr>
        <w:t>中储粮网所涉及的各项服务，可能会受到各个环节不稳定因素的影响（包括但不限于：计算机病毒或黑客攻击、系统不稳定、会员所在位置、移动网络、互联网络、通信线路、页面浏览器原因等），造成服务中断或不能满足会员要求的风险。使用中储粮网的会员须承担以上风险，中储粮网对因此导致会员不能发送和接收阅读信息、传输错误、未予储存或其它问题不承担任何责任。对于上述原因及不可抗力导致的用户数据损失、丢失或服务停止，中储粮网将不承担任何责任。</w:t>
      </w:r>
    </w:p>
    <w:p w14:paraId="0DC2C00D">
      <w:pPr>
        <w:tabs>
          <w:tab w:val="left" w:pos="-180"/>
          <w:tab w:val="left" w:pos="1303"/>
        </w:tabs>
        <w:spacing w:line="360" w:lineRule="auto"/>
        <w:ind w:firstLine="602" w:firstLineChars="200"/>
        <w:rPr>
          <w:rFonts w:ascii="仿宋_GB2312" w:hAnsi="Times New Roman" w:eastAsia="仿宋_GB2312" w:cs="Times New Roman"/>
          <w:sz w:val="30"/>
          <w:szCs w:val="30"/>
        </w:rPr>
      </w:pPr>
      <w:r>
        <w:rPr>
          <w:rFonts w:hint="eastAsia" w:ascii="仿宋_GB2312" w:hAnsi="Times New Roman" w:eastAsia="仿宋_GB2312" w:cs="Times New Roman"/>
          <w:b/>
          <w:bCs/>
          <w:sz w:val="30"/>
          <w:szCs w:val="30"/>
        </w:rPr>
        <w:t xml:space="preserve">第四十七条 </w:t>
      </w:r>
      <w:r>
        <w:rPr>
          <w:rFonts w:hint="eastAsia" w:ascii="仿宋_GB2312" w:hAnsi="Times New Roman" w:eastAsia="仿宋_GB2312" w:cs="Times New Roman"/>
          <w:sz w:val="30"/>
          <w:szCs w:val="30"/>
        </w:rPr>
        <w:t>中储粮网无法对会员的使用行为进行全面控制，因此对会员不做任何类型的担保。会员访问中储粮网页面、下载资料或信息而导致该会员电脑系统损坏或资料丢失，其风险自行承担。</w:t>
      </w:r>
    </w:p>
    <w:p w14:paraId="2EC0CFD7">
      <w:pPr>
        <w:tabs>
          <w:tab w:val="left" w:pos="-180"/>
          <w:tab w:val="left" w:pos="1303"/>
        </w:tabs>
        <w:spacing w:line="360" w:lineRule="auto"/>
        <w:ind w:firstLine="602" w:firstLineChars="200"/>
        <w:rPr>
          <w:rFonts w:ascii="仿宋_GB2312" w:hAnsi="Times New Roman" w:eastAsia="仿宋_GB2312" w:cs="Times New Roman"/>
          <w:sz w:val="30"/>
          <w:szCs w:val="30"/>
        </w:rPr>
      </w:pPr>
      <w:r>
        <w:rPr>
          <w:rFonts w:hint="eastAsia" w:ascii="仿宋_GB2312" w:hAnsi="Times New Roman" w:eastAsia="仿宋_GB2312" w:cs="Times New Roman"/>
          <w:b/>
          <w:bCs/>
          <w:sz w:val="30"/>
          <w:szCs w:val="30"/>
        </w:rPr>
        <w:t xml:space="preserve">第四十八条 </w:t>
      </w:r>
      <w:r>
        <w:rPr>
          <w:rFonts w:hint="eastAsia" w:ascii="仿宋_GB2312" w:hAnsi="Times New Roman" w:eastAsia="仿宋_GB2312" w:cs="Times New Roman"/>
          <w:sz w:val="30"/>
          <w:szCs w:val="30"/>
        </w:rPr>
        <w:t>中储粮网性质是第三方交易平台，不是合同一方，中储粮网对于会员所发布信息的合法性、真实性及履约交易能力等，不做任何担保，风险由会员自行承担。如会员因使用中储粮网而受到利益损害时，中储粮网不负任何补偿或赔偿责任。除非法律及本细则有明确规定，中储粮网对交易双方产生的合同纠纷不承担任何责任。</w:t>
      </w:r>
    </w:p>
    <w:p w14:paraId="38780A0E">
      <w:pPr>
        <w:tabs>
          <w:tab w:val="left" w:pos="-180"/>
          <w:tab w:val="left" w:pos="1303"/>
        </w:tabs>
        <w:spacing w:line="360" w:lineRule="auto"/>
        <w:ind w:firstLine="602" w:firstLineChars="200"/>
        <w:rPr>
          <w:rFonts w:ascii="仿宋_GB2312" w:hAnsi="Times New Roman" w:eastAsia="仿宋_GB2312" w:cs="Times New Roman"/>
          <w:sz w:val="30"/>
          <w:szCs w:val="30"/>
        </w:rPr>
      </w:pPr>
      <w:r>
        <w:rPr>
          <w:rFonts w:hint="eastAsia" w:ascii="仿宋_GB2312" w:hAnsi="Times New Roman" w:eastAsia="仿宋_GB2312" w:cs="Times New Roman"/>
          <w:b/>
          <w:bCs/>
          <w:sz w:val="30"/>
          <w:szCs w:val="30"/>
        </w:rPr>
        <w:t xml:space="preserve">第四十九条 </w:t>
      </w:r>
      <w:r>
        <w:rPr>
          <w:rFonts w:hint="eastAsia" w:ascii="仿宋_GB2312" w:hAnsi="Times New Roman" w:eastAsia="仿宋_GB2312" w:cs="Times New Roman"/>
          <w:sz w:val="30"/>
          <w:szCs w:val="30"/>
        </w:rPr>
        <w:t>在保证网上交易公平、公正、公开的前提下，中储粮网有权对会员注册数据及交易数据进行查阅，并可按照法定程序、</w:t>
      </w:r>
      <w:r>
        <w:rPr>
          <w:rFonts w:hint="eastAsia" w:ascii="仿宋_GB2312" w:hAnsi="Times New Roman" w:eastAsia="仿宋_GB2312" w:cs="Times New Roman"/>
          <w:sz w:val="30"/>
          <w:szCs w:val="30"/>
          <w:lang w:val="en-US" w:eastAsia="zh-CN"/>
        </w:rPr>
        <w:t>中储粮（雄安）粮油交易中心有限公司</w:t>
      </w:r>
      <w:r>
        <w:rPr>
          <w:rFonts w:hint="eastAsia" w:ascii="仿宋_GB2312" w:hAnsi="Times New Roman" w:eastAsia="仿宋_GB2312" w:cs="Times New Roman"/>
          <w:sz w:val="30"/>
          <w:szCs w:val="30"/>
        </w:rPr>
        <w:t>的规定将数据提供给相关行政管理部门。</w:t>
      </w:r>
    </w:p>
    <w:p w14:paraId="3DE481C0">
      <w:pPr>
        <w:tabs>
          <w:tab w:val="left" w:pos="-180"/>
        </w:tabs>
        <w:spacing w:line="360" w:lineRule="auto"/>
        <w:ind w:firstLine="600" w:firstLineChars="200"/>
        <w:jc w:val="center"/>
        <w:rPr>
          <w:rFonts w:ascii="黑体" w:hAnsi="黑体" w:eastAsia="黑体" w:cs="Times New Roman"/>
          <w:sz w:val="30"/>
          <w:szCs w:val="30"/>
        </w:rPr>
      </w:pPr>
    </w:p>
    <w:p w14:paraId="7C775AE2">
      <w:pPr>
        <w:tabs>
          <w:tab w:val="left" w:pos="-180"/>
        </w:tabs>
        <w:spacing w:line="360" w:lineRule="auto"/>
        <w:jc w:val="center"/>
        <w:rPr>
          <w:rFonts w:ascii="黑体" w:hAnsi="黑体" w:eastAsia="黑体" w:cs="Times New Roman"/>
          <w:sz w:val="32"/>
          <w:szCs w:val="32"/>
        </w:rPr>
      </w:pPr>
      <w:r>
        <w:rPr>
          <w:rFonts w:hint="eastAsia" w:ascii="黑体" w:hAnsi="黑体" w:eastAsia="黑体" w:cs="Times New Roman"/>
          <w:sz w:val="32"/>
          <w:szCs w:val="32"/>
        </w:rPr>
        <w:t>第九章 附则</w:t>
      </w:r>
    </w:p>
    <w:p w14:paraId="7C1FF5F2">
      <w:pPr>
        <w:tabs>
          <w:tab w:val="left" w:pos="-180"/>
          <w:tab w:val="left" w:pos="1303"/>
        </w:tabs>
        <w:spacing w:line="360" w:lineRule="auto"/>
        <w:ind w:firstLine="602" w:firstLineChars="200"/>
        <w:rPr>
          <w:rFonts w:ascii="仿宋_GB2312" w:hAnsi="Times New Roman" w:eastAsia="仿宋_GB2312" w:cs="Times New Roman"/>
          <w:b/>
          <w:sz w:val="30"/>
          <w:szCs w:val="30"/>
        </w:rPr>
      </w:pPr>
      <w:r>
        <w:rPr>
          <w:rFonts w:hint="eastAsia" w:ascii="仿宋_GB2312" w:hAnsi="Times New Roman" w:eastAsia="仿宋_GB2312" w:cs="Times New Roman"/>
          <w:b/>
          <w:bCs/>
          <w:sz w:val="30"/>
          <w:szCs w:val="30"/>
        </w:rPr>
        <w:t xml:space="preserve">第五十条 </w:t>
      </w:r>
      <w:r>
        <w:rPr>
          <w:rFonts w:hint="eastAsia" w:ascii="仿宋_GB2312" w:hAnsi="Times New Roman" w:eastAsia="仿宋_GB2312" w:cs="Times New Roman"/>
          <w:sz w:val="30"/>
          <w:szCs w:val="30"/>
        </w:rPr>
        <w:t>本细则的解释权归</w:t>
      </w:r>
      <w:r>
        <w:rPr>
          <w:rFonts w:hint="eastAsia" w:ascii="仿宋_GB2312" w:hAnsi="Times New Roman" w:eastAsia="仿宋_GB2312" w:cs="Times New Roman"/>
          <w:sz w:val="30"/>
          <w:szCs w:val="30"/>
          <w:lang w:val="en-US" w:eastAsia="zh-CN"/>
        </w:rPr>
        <w:t>中储粮（雄安）粮油交易中心有限公司</w:t>
      </w:r>
      <w:r>
        <w:rPr>
          <w:rFonts w:hint="eastAsia" w:ascii="仿宋_GB2312" w:hAnsi="Times New Roman" w:eastAsia="仿宋_GB2312" w:cs="Times New Roman"/>
          <w:sz w:val="30"/>
          <w:szCs w:val="30"/>
        </w:rPr>
        <w:t>所有。</w:t>
      </w:r>
    </w:p>
    <w:p w14:paraId="0E73A538">
      <w:pPr>
        <w:tabs>
          <w:tab w:val="left" w:pos="-180"/>
          <w:tab w:val="left" w:pos="1303"/>
        </w:tabs>
        <w:spacing w:line="360" w:lineRule="auto"/>
        <w:ind w:firstLine="602" w:firstLineChars="200"/>
        <w:rPr>
          <w:rFonts w:ascii="仿宋_GB2312" w:hAnsi="Times New Roman" w:eastAsia="仿宋_GB2312" w:cs="Times New Roman"/>
          <w:sz w:val="30"/>
          <w:szCs w:val="30"/>
        </w:rPr>
      </w:pPr>
      <w:r>
        <w:rPr>
          <w:rFonts w:hint="eastAsia" w:ascii="仿宋_GB2312" w:hAnsi="Times New Roman" w:eastAsia="仿宋_GB2312" w:cs="Times New Roman"/>
          <w:b/>
          <w:bCs/>
          <w:sz w:val="30"/>
          <w:szCs w:val="30"/>
        </w:rPr>
        <w:t xml:space="preserve">第五十一条 </w:t>
      </w:r>
      <w:r>
        <w:rPr>
          <w:rFonts w:hint="eastAsia" w:ascii="仿宋_GB2312" w:hAnsi="Times New Roman" w:eastAsia="仿宋_GB2312" w:cs="Times New Roman"/>
          <w:sz w:val="30"/>
          <w:szCs w:val="30"/>
        </w:rPr>
        <w:t>如遇法定节假日，本细则有关业务办理时限适当调整，具体以中储粮网公告为准。</w:t>
      </w:r>
    </w:p>
    <w:p w14:paraId="2E7A05E2">
      <w:pPr>
        <w:tabs>
          <w:tab w:val="left" w:pos="-180"/>
          <w:tab w:val="left" w:pos="1303"/>
        </w:tabs>
        <w:spacing w:line="360" w:lineRule="auto"/>
        <w:ind w:firstLine="602" w:firstLineChars="200"/>
        <w:rPr>
          <w:rFonts w:ascii="仿宋_GB2312" w:hAnsi="Times New Roman" w:eastAsia="仿宋_GB2312" w:cs="Times New Roman"/>
          <w:sz w:val="30"/>
          <w:szCs w:val="30"/>
        </w:rPr>
      </w:pPr>
      <w:r>
        <w:rPr>
          <w:rFonts w:hint="eastAsia" w:ascii="仿宋_GB2312" w:hAnsi="Times New Roman" w:eastAsia="仿宋_GB2312" w:cs="Times New Roman"/>
          <w:b/>
          <w:bCs/>
          <w:sz w:val="30"/>
          <w:szCs w:val="30"/>
        </w:rPr>
        <w:t xml:space="preserve">第五十二条 </w:t>
      </w:r>
      <w:r>
        <w:rPr>
          <w:rFonts w:hint="eastAsia" w:ascii="仿宋_GB2312" w:hAnsi="Times New Roman" w:eastAsia="仿宋_GB2312" w:cs="Times New Roman"/>
          <w:sz w:val="30"/>
          <w:szCs w:val="30"/>
        </w:rPr>
        <w:t>本细则仅适用于</w:t>
      </w:r>
      <w:r>
        <w:rPr>
          <w:rFonts w:hint="eastAsia" w:ascii="仿宋_GB2312" w:hAnsi="Times New Roman" w:eastAsia="仿宋_GB2312" w:cs="Times New Roman"/>
          <w:sz w:val="30"/>
          <w:szCs w:val="30"/>
          <w:lang w:val="en-US" w:eastAsia="zh-CN"/>
        </w:rPr>
        <w:t>中企联合油脂有限公司</w:t>
      </w:r>
      <w:r>
        <w:rPr>
          <w:rFonts w:hint="eastAsia" w:ascii="仿宋_GB2312" w:hAnsi="Times New Roman" w:eastAsia="仿宋_GB2312" w:cs="Times New Roman"/>
          <w:sz w:val="30"/>
          <w:szCs w:val="30"/>
        </w:rPr>
        <w:t>委托的本竞价专场交易，并自发布之日起执行。</w:t>
      </w:r>
    </w:p>
    <w:p w14:paraId="4E316EE2">
      <w:pPr>
        <w:spacing w:line="360" w:lineRule="auto"/>
        <w:rPr>
          <w:rFonts w:ascii="Times New Roman" w:hAnsi="Times New Roman" w:eastAsia="宋体" w:cs="Times New Roman"/>
          <w:szCs w:val="24"/>
        </w:rPr>
      </w:pPr>
    </w:p>
    <w:p w14:paraId="2D0487C8"/>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B0606030804020204"/>
    <w:charset w:val="86"/>
    <w:family w:val="auto"/>
    <w:pitch w:val="default"/>
    <w:sig w:usb0="A0000287" w:usb1="29DF3C72" w:usb2="00000016" w:usb3="00000000" w:csb0="6002019F" w:csb1="DFD7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trackRevisions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3AAA"/>
    <w:rsid w:val="0020220C"/>
    <w:rsid w:val="002D19F6"/>
    <w:rsid w:val="003F3AAA"/>
    <w:rsid w:val="00A857A2"/>
    <w:rsid w:val="00AE1593"/>
    <w:rsid w:val="00B5146A"/>
    <w:rsid w:val="00C85462"/>
    <w:rsid w:val="00E51BD2"/>
    <w:rsid w:val="00EE57E1"/>
    <w:rsid w:val="00FE07A7"/>
    <w:rsid w:val="00FE3393"/>
    <w:rsid w:val="0A565A84"/>
    <w:rsid w:val="176B64FB"/>
    <w:rsid w:val="17F473A6"/>
    <w:rsid w:val="250D45D9"/>
    <w:rsid w:val="2A6F342B"/>
    <w:rsid w:val="2FBF0944"/>
    <w:rsid w:val="30967CC4"/>
    <w:rsid w:val="31BB6926"/>
    <w:rsid w:val="37B75977"/>
    <w:rsid w:val="37F426BE"/>
    <w:rsid w:val="416B3C21"/>
    <w:rsid w:val="4CFD448D"/>
    <w:rsid w:val="59B65CED"/>
    <w:rsid w:val="5BFF318C"/>
    <w:rsid w:val="65DC7020"/>
    <w:rsid w:val="7AFFB33F"/>
    <w:rsid w:val="F7FF30DE"/>
    <w:rsid w:val="FADFC9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qFormat/>
    <w:uiPriority w:val="99"/>
    <w:rPr>
      <w:sz w:val="18"/>
      <w:szCs w:val="18"/>
    </w:rPr>
  </w:style>
  <w:style w:type="character" w:customStyle="1" w:styleId="7">
    <w:name w:val="页脚 字符"/>
    <w:basedOn w:val="5"/>
    <w:link w:val="2"/>
    <w:qFormat/>
    <w:uiPriority w:val="99"/>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13</Pages>
  <Words>857</Words>
  <Characters>4889</Characters>
  <Lines>40</Lines>
  <Paragraphs>11</Paragraphs>
  <TotalTime>8</TotalTime>
  <ScaleCrop>false</ScaleCrop>
  <LinksUpToDate>false</LinksUpToDate>
  <CharactersWithSpaces>5735</CharactersWithSpaces>
  <Application>WPS Office_12.1.0.17885_F1E327BC-269C-435d-A152-05C5408002CA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2022-08-26T01:17:00Z</dcterms:created>
  <dc:creator>965285034@qq.com</dc:creator>
  <cp:lastModifiedBy>moexc</cp:lastModifiedBy>
  <dcterms:modified xsi:type="dcterms:W3CDTF">2025-02-19T09:48:39Z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2052-12.1.0.17885</vt:lpwstr>
  </property>
  <property fmtid="{D5CDD505-2E9C-101B-9397-08002B2CF9AE}" pid="3" name="ICV">
    <vt:lpwstr>7ED37A542C6A48AF929883260B2E72BF</vt:lpwstr>
  </property>
</Properties>
</file>