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E0F9D" w14:textId="77777777" w:rsidR="00207573" w:rsidRDefault="00207573">
      <w:pPr>
        <w:rPr>
          <w:rFonts w:ascii="黑体" w:eastAsia="黑体"/>
          <w:b/>
          <w:sz w:val="44"/>
          <w:szCs w:val="44"/>
        </w:rPr>
      </w:pPr>
    </w:p>
    <w:p w14:paraId="3C89C9AF" w14:textId="0B240701" w:rsidR="001155FA" w:rsidRDefault="000F6857" w:rsidP="001155FA">
      <w:pPr>
        <w:jc w:val="center"/>
        <w:rPr>
          <w:rFonts w:ascii="宋体" w:hAnsi="宋体" w:cs="宋体"/>
          <w:b/>
          <w:sz w:val="36"/>
          <w:szCs w:val="36"/>
        </w:rPr>
      </w:pPr>
      <w:proofErr w:type="gramStart"/>
      <w:r>
        <w:rPr>
          <w:rFonts w:ascii="宋体" w:hAnsi="宋体" w:cs="宋体"/>
          <w:b/>
          <w:sz w:val="36"/>
          <w:szCs w:val="36"/>
        </w:rPr>
        <w:t xml:space="preserve">《中储粮内蒙古分公司玉米购销双向竞价专场交易细则》(2025年4月25日试行)</w:t>
      </w:r>
      <w:proofErr w:type="spellStart"/>
      <w:r w:rsidR="003C4EE0">
        <w:rPr>
          <w:rFonts w:ascii="宋体" w:hAnsi="宋体" w:cs="宋体"/>
          <w:b/>
          <w:sz w:val="36"/>
          <w:szCs w:val="36"/>
        </w:rPr>
        <w:t/>
      </w:r>
      <w:proofErr w:type="spellEnd"/>
      <w:proofErr w:type="gramEnd"/>
      <w:r w:rsidR="003C4EE0">
        <w:rPr>
          <w:rFonts w:ascii="宋体" w:hAnsi="宋体" w:cs="宋体"/>
          <w:b/>
          <w:sz w:val="36"/>
          <w:szCs w:val="36"/>
        </w:rPr>
        <w:t xml:space="preserve"/>
      </w:r>
      <w:r>
        <w:rPr>
          <w:rFonts w:ascii="宋体" w:hAnsi="宋体" w:cs="宋体"/>
          <w:b/>
          <w:sz w:val="36"/>
          <w:szCs w:val="36"/>
        </w:rPr>
        <w:t/>
      </w:r>
    </w:p>
    <w:p w14:paraId="7E30069D" w14:textId="46C8EB9A" w:rsidR="00207573" w:rsidRDefault="00207573">
      <w:pPr>
        <w:jc w:val="center"/>
        <w:outlineLvl w:val="0"/>
        <w:rPr>
          <w:rFonts w:ascii="宋体" w:hAnsi="宋体" w:cs="宋体"/>
          <w:b/>
          <w:sz w:val="36"/>
          <w:szCs w:val="36"/>
        </w:rPr>
      </w:pPr>
    </w:p>
    <w:p w14:paraId="137AC367" w14:textId="77777777" w:rsidR="00207573" w:rsidRDefault="00207573">
      <w:pPr>
        <w:rPr>
          <w:rFonts w:ascii="仿宋_GB2312" w:eastAsia="仿宋_GB2312"/>
        </w:rPr>
      </w:pPr>
    </w:p>
    <w:p w14:paraId="67A6FE63" w14:textId="77777777" w:rsidR="00207573" w:rsidRDefault="00207573">
      <w:pPr>
        <w:rPr>
          <w:rFonts w:ascii="仿宋_GB2312" w:eastAsia="仿宋_GB2312"/>
        </w:rPr>
      </w:pPr>
    </w:p>
    <w:p w14:paraId="0C7A101B" w14:textId="77777777" w:rsidR="00207573" w:rsidRDefault="00F261D9">
      <w:pPr>
        <w:jc w:val="center"/>
        <w:rPr>
          <w:rFonts w:ascii="黑体" w:eastAsia="黑体" w:hAnsi="黑体"/>
          <w:sz w:val="32"/>
          <w:szCs w:val="32"/>
        </w:rPr>
      </w:pPr>
      <w:r>
        <w:rPr>
          <w:rFonts w:ascii="黑体" w:eastAsia="黑体" w:hAnsi="黑体" w:hint="eastAsia"/>
          <w:sz w:val="32"/>
          <w:szCs w:val="32"/>
        </w:rPr>
        <w:t>第一章 总则</w:t>
      </w:r>
    </w:p>
    <w:p w14:paraId="41C8A41D"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494CD13D"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2303EFCC"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69132865" w14:textId="0D93187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内蒙古分公司</w:t>
      </w:r>
      <w:r>
        <w:rPr>
          <w:rFonts w:ascii="仿宋_GB2312" w:eastAsia="仿宋_GB2312" w:hint="eastAsia"/>
          <w:sz w:val="30"/>
          <w:szCs w:val="30"/>
        </w:rPr>
        <w:t>委托，采取网上竞价交易。</w:t>
      </w:r>
    </w:p>
    <w:p w14:paraId="1F0188E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18ECDF94"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524A0150" w14:textId="61EC6C59"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第七条 </w:t>
      </w:r>
      <w:r w:rsidR="00AE6F15" w:rsidRPr="001157C8">
        <w:rPr>
          <w:rFonts w:ascii="仿宋_GB2312" w:eastAsia="仿宋_GB2312"/>
          <w:sz w:val="30"/>
          <w:szCs w:val="30"/>
        </w:rPr>
        <w:t>中储粮（雄安）粮油交易中心有限公司</w:t>
      </w:r>
      <w:r w:rsidR="00AE6F15">
        <w:rPr>
          <w:rFonts w:ascii="仿宋_GB2312" w:eastAsia="仿宋_GB2312" w:hint="eastAsia"/>
          <w:sz w:val="30"/>
          <w:szCs w:val="30"/>
        </w:rPr>
        <w:t>（</w:t>
      </w:r>
      <w:r w:rsidR="00AE6F15" w:rsidRPr="001157C8">
        <w:rPr>
          <w:rFonts w:ascii="仿宋_GB2312" w:eastAsia="仿宋_GB2312"/>
          <w:sz w:val="30"/>
          <w:szCs w:val="30"/>
        </w:rPr>
        <w:t>以下简称</w:t>
      </w:r>
      <w:r w:rsidR="00AE6F15" w:rsidRPr="001157C8">
        <w:rPr>
          <w:rFonts w:ascii="仿宋_GB2312" w:eastAsia="仿宋_GB2312"/>
          <w:sz w:val="30"/>
          <w:szCs w:val="30"/>
        </w:rPr>
        <w:t>“</w:t>
      </w:r>
      <w:r w:rsidR="00AE6F15" w:rsidRPr="001157C8">
        <w:rPr>
          <w:rFonts w:ascii="仿宋_GB2312" w:eastAsia="仿宋_GB2312"/>
          <w:sz w:val="30"/>
          <w:szCs w:val="30"/>
        </w:rPr>
        <w:t>交易中心</w:t>
      </w:r>
      <w:r w:rsidR="00AE6F15" w:rsidRPr="001157C8">
        <w:rPr>
          <w:rFonts w:ascii="仿宋_GB2312" w:eastAsia="仿宋_GB2312"/>
          <w:sz w:val="30"/>
          <w:szCs w:val="30"/>
        </w:rPr>
        <w:t>”</w:t>
      </w:r>
      <w:r w:rsidR="00AE6F15">
        <w:rPr>
          <w:rFonts w:ascii="仿宋_GB2312" w:eastAsia="仿宋_GB2312" w:hint="eastAsia"/>
          <w:sz w:val="30"/>
          <w:szCs w:val="30"/>
        </w:rPr>
        <w:t>）</w:t>
      </w:r>
      <w:r>
        <w:rPr>
          <w:rFonts w:ascii="仿宋_GB2312" w:eastAsia="仿宋_GB2312" w:hint="eastAsia"/>
          <w:sz w:val="30"/>
          <w:szCs w:val="30"/>
        </w:rPr>
        <w:t>具体负责中储粮网的建设和日常运营。</w:t>
      </w:r>
    </w:p>
    <w:p w14:paraId="7C213E03" w14:textId="77777777" w:rsidR="00207573" w:rsidRDefault="00207573">
      <w:pPr>
        <w:tabs>
          <w:tab w:val="left" w:pos="-180"/>
        </w:tabs>
        <w:ind w:firstLineChars="200" w:firstLine="600"/>
        <w:rPr>
          <w:rFonts w:ascii="黑体" w:eastAsia="黑体" w:hAnsi="黑体"/>
          <w:sz w:val="30"/>
          <w:szCs w:val="30"/>
        </w:rPr>
      </w:pPr>
    </w:p>
    <w:p w14:paraId="22550522"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32B2AF8F" w14:textId="4C78690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int="eastAsia"/>
          <w:sz w:val="30"/>
          <w:szCs w:val="30"/>
        </w:rPr>
        <w:t>中储粮网会员指根据国家有关法律、法规及交易中心有关章程的规定，经交易中心审核批准，在中储粮网进行电子商务活动的企业法人或者其他经济组织等。中储粮网会员实行会员资格年审制。</w:t>
      </w:r>
    </w:p>
    <w:p w14:paraId="0C05E25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申请注册中储粮网会员的流程。</w:t>
      </w:r>
    </w:p>
    <w:p w14:paraId="58C99BFE" w14:textId="61260BB3" w:rsidR="00207573" w:rsidRDefault="00F261D9">
      <w:pPr>
        <w:tabs>
          <w:tab w:val="left" w:pos="-180"/>
          <w:tab w:val="left" w:pos="1303"/>
        </w:tabs>
        <w:ind w:firstLineChars="200" w:firstLine="600"/>
        <w:jc w:val="left"/>
        <w:rPr>
          <w:rFonts w:ascii="仿宋_GB2312" w:eastAsia="仿宋_GB2312"/>
          <w:sz w:val="30"/>
          <w:szCs w:val="30"/>
        </w:rPr>
      </w:pPr>
      <w:r>
        <w:rPr>
          <w:rFonts w:ascii="仿宋_GB2312" w:eastAsia="仿宋_GB2312" w:hint="eastAsia"/>
          <w:sz w:val="30"/>
          <w:szCs w:val="30"/>
        </w:rPr>
        <w:t xml:space="preserve">申请注册中储粮网会员的企业，需向交易中心提交下列资料： </w:t>
      </w:r>
    </w:p>
    <w:p w14:paraId="49723E6F" w14:textId="77777777" w:rsidR="00207573" w:rsidRDefault="00F261D9">
      <w:pPr>
        <w:ind w:firstLineChars="200" w:firstLine="600"/>
        <w:rPr>
          <w:rFonts w:ascii="仿宋_GB2312" w:eastAsia="仿宋_GB2312" w:cs="仿宋_GB2312"/>
          <w:sz w:val="30"/>
          <w:szCs w:val="30"/>
        </w:rPr>
      </w:pPr>
      <w:r>
        <w:rPr>
          <w:rFonts w:ascii="仿宋_GB2312" w:eastAsia="仿宋_GB2312" w:hint="eastAsia"/>
          <w:sz w:val="30"/>
          <w:szCs w:val="30"/>
        </w:rPr>
        <w:t>（一）在中储粮网站登录界面点击“注册”，</w:t>
      </w:r>
      <w:r>
        <w:rPr>
          <w:rFonts w:ascii="仿宋_GB2312" w:eastAsia="仿宋_GB2312" w:cs="仿宋_GB2312" w:hint="eastAsia"/>
          <w:sz w:val="30"/>
          <w:szCs w:val="30"/>
        </w:rPr>
        <w:t>必须仔细阅读《中储粮网电子商务平台会员入市协议》、《</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》，同意并接受后，方能进行正式注册，并按照注册流程，在线填写会员信息；</w:t>
      </w:r>
    </w:p>
    <w:p w14:paraId="3ED1F606" w14:textId="77777777" w:rsidR="00207573" w:rsidRDefault="00F261D9">
      <w:pPr>
        <w:ind w:firstLineChars="200" w:firstLine="600"/>
        <w:rPr>
          <w:rFonts w:ascii="仿宋_GB2312" w:eastAsia="仿宋_GB2312"/>
          <w:sz w:val="30"/>
          <w:szCs w:val="30"/>
        </w:rPr>
      </w:pPr>
      <w:r>
        <w:rPr>
          <w:rFonts w:ascii="仿宋_GB2312" w:eastAsia="仿宋_GB2312" w:cs="仿宋_GB2312" w:hint="eastAsia"/>
          <w:sz w:val="30"/>
          <w:szCs w:val="30"/>
          <w:lang w:bidi="ar"/>
        </w:rPr>
        <w:t>（二）在线据实填写企业基本信息提交后，可下载、打印《中储粮网会员注册申请表》、《承诺函》、《</w:t>
      </w:r>
      <w:r>
        <w:rPr>
          <w:rFonts w:ascii="仿宋_GB2312" w:eastAsia="仿宋_GB2312" w:cs="仿宋_GB2312"/>
          <w:sz w:val="30"/>
          <w:szCs w:val="30"/>
          <w:lang w:bidi="ar"/>
        </w:rPr>
        <w:t>中储粮网线上交易参与方须知</w:t>
      </w:r>
      <w:r>
        <w:rPr>
          <w:rFonts w:ascii="仿宋_GB2312" w:eastAsia="仿宋_GB2312" w:cs="仿宋_GB2312" w:hint="eastAsia"/>
          <w:sz w:val="30"/>
          <w:szCs w:val="30"/>
          <w:lang w:bidi="ar"/>
        </w:rPr>
        <w:t>确认</w:t>
      </w:r>
      <w:r>
        <w:rPr>
          <w:rFonts w:ascii="仿宋_GB2312" w:eastAsia="仿宋_GB2312" w:cs="仿宋_GB2312"/>
          <w:sz w:val="30"/>
          <w:szCs w:val="30"/>
          <w:lang w:bidi="ar"/>
        </w:rPr>
        <w:t>书</w:t>
      </w:r>
      <w:r>
        <w:rPr>
          <w:rFonts w:ascii="仿宋_GB2312" w:eastAsia="仿宋_GB2312" w:cs="仿宋_GB2312" w:hint="eastAsia"/>
          <w:sz w:val="30"/>
          <w:szCs w:val="30"/>
          <w:lang w:bidi="ar"/>
        </w:rPr>
        <w:t>》和《中储粮网电子签章使用确认书》，上述资料加盖企业公章并附法定代表人或负责人签字后，在线提交；</w:t>
      </w:r>
      <w:r>
        <w:rPr>
          <w:rFonts w:ascii="仿宋_GB2312" w:eastAsia="仿宋_GB2312" w:hint="eastAsia"/>
          <w:sz w:val="30"/>
          <w:szCs w:val="30"/>
        </w:rPr>
        <w:t>（三）提交工商行政管理部门核发的《营业执照》副本复印件（加盖企业公章）；</w:t>
      </w:r>
    </w:p>
    <w:p w14:paraId="17D82BE2"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lastRenderedPageBreak/>
        <w:t>（四）提交法定代表人或负责人身份证复印件（加盖企业公章）。</w:t>
      </w:r>
    </w:p>
    <w:p w14:paraId="5B183F90" w14:textId="72058850" w:rsidR="00207573" w:rsidRDefault="00F261D9">
      <w:pPr>
        <w:ind w:firstLineChars="200" w:firstLine="600"/>
        <w:rPr>
          <w:rFonts w:ascii="仿宋_GB2312" w:eastAsia="仿宋_GB2312"/>
          <w:sz w:val="30"/>
          <w:szCs w:val="30"/>
        </w:rPr>
      </w:pPr>
      <w:r>
        <w:rPr>
          <w:rFonts w:ascii="仿宋_GB2312" w:eastAsia="仿宋_GB2312" w:hint="eastAsia"/>
          <w:sz w:val="30"/>
          <w:szCs w:val="30"/>
          <w:lang w:bidi="ar"/>
        </w:rPr>
        <w:t>（五）提交交易操作员、财务操作员和电子签章操作员身份证复印件（加盖企业公章）。</w:t>
      </w:r>
      <w:r>
        <w:rPr>
          <w:rFonts w:ascii="仿宋_GB2312" w:eastAsia="仿宋_GB2312" w:hint="eastAsia"/>
          <w:sz w:val="30"/>
          <w:szCs w:val="30"/>
        </w:rPr>
        <w:t>交易中心根据申请注册会员提供的以上资料进行审核，经核实无误后将会员代码、交易密码、交易密钥等相关交易凭证发放至申请注册企业，完成会员注册。</w:t>
      </w:r>
    </w:p>
    <w:p w14:paraId="4C4B559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011EAF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134770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24C7C554"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t>（一）使用中储粮网从事交易；</w:t>
      </w:r>
    </w:p>
    <w:p w14:paraId="1EE9EED0"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（二）使用并享受中储粮网提供的信息、融资、结算、物流等配套服务；</w:t>
      </w:r>
    </w:p>
    <w:p w14:paraId="0F7B61B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（三）对中储粮网的工作提出意见和建议；</w:t>
      </w:r>
    </w:p>
    <w:p w14:paraId="0B616C63"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（四）参加中储粮网组织的会员活动；</w:t>
      </w:r>
    </w:p>
    <w:p w14:paraId="3387D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（五）优先享有中储粮网推出的增值服务；</w:t>
      </w:r>
    </w:p>
    <w:p w14:paraId="7C4ACF2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（六）其他依法应享有的权利。</w:t>
      </w:r>
    </w:p>
    <w:p w14:paraId="5CFA5AE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0B7E5405"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（一）遵守本细则及中储粮网其他相关规定；</w:t>
      </w:r>
    </w:p>
    <w:p w14:paraId="086A0036" w14:textId="77777777" w:rsidR="00207573" w:rsidRDefault="00F261D9">
      <w:pPr>
        <w:tabs>
          <w:tab w:val="left" w:pos="-180"/>
        </w:tabs>
        <w:ind w:firstLineChars="200" w:firstLine="600"/>
        <w:rPr>
          <w:rFonts w:ascii="宋体" w:hAnsi="宋体" w:cs="宋体"/>
          <w:sz w:val="30"/>
          <w:szCs w:val="30"/>
        </w:rPr>
      </w:pPr>
      <w:r>
        <w:rPr>
          <w:rFonts w:ascii="仿宋_GB2312" w:eastAsia="仿宋_GB2312" w:hint="eastAsia"/>
          <w:sz w:val="30"/>
          <w:szCs w:val="30"/>
        </w:rPr>
        <w:t>（二）确保在本中储粮网中所发布信息真实、准确、合法、唯一。唯一性指在本中储粮网发布的相关信息不可同时在其他网站发布</w:t>
      </w:r>
      <w:r>
        <w:rPr>
          <w:rFonts w:ascii="宋体" w:hAnsi="宋体" w:cs="宋体" w:hint="eastAsia"/>
          <w:sz w:val="30"/>
          <w:szCs w:val="30"/>
        </w:rPr>
        <w:t>；</w:t>
      </w:r>
    </w:p>
    <w:p w14:paraId="6596DA87" w14:textId="3A340D93"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（三）在获得会员资格后，及时更改从交易中心获取的初始密码并妥善保管，并对其会员代码下发生的所有交易及结果承担全部责任，严格履行在中储粮网上签订的合同及协议；</w:t>
      </w:r>
    </w:p>
    <w:p w14:paraId="674A4EBF" w14:textId="64B1912B"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（四）确保提供给交易中心备案的签名、印鉴等各种会员资料真实、合法、有效。如有变更，会员应及时提交变更申请至交易中心进行信息变更；</w:t>
      </w:r>
    </w:p>
    <w:p w14:paraId="28BBF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（五）遵守中储粮网交易交割流程以及商务协调管理办法；</w:t>
      </w:r>
    </w:p>
    <w:p w14:paraId="4CFA7CD7"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（六）须按照中储粮网要求，按时进行年审；</w:t>
      </w:r>
    </w:p>
    <w:p w14:paraId="4094134E" w14:textId="77777777" w:rsidR="00207573" w:rsidRDefault="00F261D9">
      <w:pPr>
        <w:tabs>
          <w:tab w:val="left" w:pos="-180"/>
        </w:tabs>
        <w:ind w:left="600"/>
        <w:rPr>
          <w:rFonts w:ascii="仿宋_GB2312" w:eastAsia="仿宋_GB2312"/>
          <w:b/>
          <w:sz w:val="30"/>
          <w:szCs w:val="30"/>
        </w:rPr>
      </w:pPr>
      <w:r>
        <w:rPr>
          <w:rFonts w:ascii="仿宋_GB2312" w:eastAsia="仿宋_GB2312" w:hint="eastAsia"/>
          <w:sz w:val="30"/>
          <w:szCs w:val="30"/>
        </w:rPr>
        <w:t>（七）其他依法应履行的义务。</w:t>
      </w:r>
    </w:p>
    <w:p w14:paraId="0BB570F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4ABAFD68" w14:textId="29A87FC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交易中心认为必须控制风险或遇不可抗力事件时，有权决定暂停交易或调整交易开闭市时间。会员因其自身原因不能正常参与交易，不影响整体网上交易的进行。</w:t>
      </w:r>
    </w:p>
    <w:p w14:paraId="0298648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2B55A8D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03C4956"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73D615F2"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7714DD78"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76814ED5"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59BA4686"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A307A57"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10D23885" w14:textId="77777777" w:rsidR="00207573" w:rsidRDefault="00F261D9">
      <w:pPr>
        <w:numPr>
          <w:ilvl w:val="255"/>
          <w:numId w:val="0"/>
        </w:numPr>
        <w:tabs>
          <w:tab w:val="left" w:pos="-180"/>
          <w:tab w:val="left" w:pos="1303"/>
        </w:tabs>
        <w:ind w:firstLineChars="200" w:firstLine="600"/>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会员资金管理。会员在中储粮网交易中涉及的保证金、货款等资金必须存入其托管账户内委托中储粮网进行管理，</w:t>
      </w:r>
      <w:r>
        <w:rPr>
          <w:rFonts w:ascii="仿宋_GB2312" w:eastAsia="仿宋_GB2312" w:hint="eastAsia"/>
          <w:sz w:val="30"/>
          <w:szCs w:val="30"/>
        </w:rPr>
        <w:lastRenderedPageBreak/>
        <w:t>并按照中储粮网相关制度、规则及协议规定，通过中储粮网进行资金汇划与结算。</w:t>
      </w:r>
    </w:p>
    <w:p w14:paraId="6BCF02C8" w14:textId="77777777" w:rsidR="00207573" w:rsidRDefault="00F261D9">
      <w:pPr>
        <w:numPr>
          <w:ilvl w:val="255"/>
          <w:numId w:val="0"/>
        </w:numPr>
        <w:tabs>
          <w:tab w:val="left" w:pos="-180"/>
          <w:tab w:val="left" w:pos="1303"/>
        </w:tabs>
        <w:ind w:firstLineChars="200" w:firstLine="624"/>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7FAAA2E5" w14:textId="77777777" w:rsidR="00207573" w:rsidRDefault="00207573">
      <w:pPr>
        <w:tabs>
          <w:tab w:val="left" w:pos="-180"/>
        </w:tabs>
        <w:ind w:firstLineChars="200" w:firstLine="600"/>
        <w:jc w:val="left"/>
        <w:rPr>
          <w:rFonts w:ascii="仿宋_GB2312" w:eastAsia="仿宋_GB2312"/>
          <w:sz w:val="30"/>
          <w:szCs w:val="30"/>
        </w:rPr>
      </w:pPr>
    </w:p>
    <w:p w14:paraId="50382F4A" w14:textId="77777777" w:rsidR="00207573" w:rsidRDefault="00207573">
      <w:pPr>
        <w:tabs>
          <w:tab w:val="left" w:pos="-180"/>
        </w:tabs>
        <w:ind w:firstLineChars="200" w:firstLine="600"/>
        <w:jc w:val="left"/>
        <w:rPr>
          <w:rFonts w:ascii="黑体" w:eastAsia="黑体" w:hAnsi="黑体"/>
          <w:sz w:val="30"/>
          <w:szCs w:val="30"/>
        </w:rPr>
      </w:pPr>
    </w:p>
    <w:p w14:paraId="167B0CB7" w14:textId="77777777" w:rsidR="00207573" w:rsidRDefault="00F261D9">
      <w:pPr>
        <w:jc w:val="center"/>
        <w:rPr>
          <w:rFonts w:ascii="黑体" w:eastAsia="黑体" w:hAnsi="黑体"/>
          <w:sz w:val="32"/>
          <w:szCs w:val="32"/>
        </w:rPr>
      </w:pPr>
      <w:r>
        <w:rPr>
          <w:rFonts w:ascii="黑体" w:eastAsia="黑体" w:hAnsi="黑体" w:hint="eastAsia"/>
          <w:sz w:val="32"/>
          <w:szCs w:val="32"/>
        </w:rPr>
        <w:t>第四章 交易秩序</w:t>
      </w:r>
    </w:p>
    <w:p w14:paraId="09A3925D"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6332B101"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2ABD6E8C"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4046BC03" w14:textId="77777777" w:rsidR="00207573" w:rsidRDefault="00207573">
      <w:pPr>
        <w:ind w:firstLineChars="200" w:firstLine="600"/>
        <w:rPr>
          <w:rFonts w:ascii="仿宋_GB2312" w:eastAsia="仿宋_GB2312"/>
          <w:sz w:val="30"/>
          <w:szCs w:val="30"/>
        </w:rPr>
      </w:pPr>
    </w:p>
    <w:p w14:paraId="74A7A00B" w14:textId="77777777" w:rsidR="00207573" w:rsidRDefault="00F261D9">
      <w:pPr>
        <w:jc w:val="center"/>
        <w:rPr>
          <w:rFonts w:ascii="黑体" w:eastAsia="黑体" w:hAnsi="黑体"/>
          <w:sz w:val="32"/>
          <w:szCs w:val="32"/>
        </w:rPr>
      </w:pPr>
      <w:r>
        <w:rPr>
          <w:rFonts w:ascii="黑体" w:eastAsia="黑体" w:hAnsi="黑体" w:hint="eastAsia"/>
          <w:sz w:val="32"/>
          <w:szCs w:val="32"/>
        </w:rPr>
        <w:t>第五章 竞价交易</w:t>
      </w:r>
    </w:p>
    <w:p w14:paraId="5DB3C7D8" w14:textId="7991C12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内蒙古分公司</w:t>
      </w:r>
      <w:r>
        <w:rPr>
          <w:rFonts w:ascii="仿宋_GB2312" w:eastAsia="仿宋_GB2312" w:hint="eastAsia"/>
          <w:sz w:val="30"/>
          <w:szCs w:val="30"/>
        </w:rPr>
        <w:t>委托，组建竞价专场，交易信息以专场标的形式展现；竞价参与方在专场交易的规定时间内可对选定的标的，以向上的出价方式进行公开竞价。交易系统按照“价格优先、时间优先”的原则成交。</w:t>
      </w:r>
    </w:p>
    <w:p w14:paraId="5506A16E" w14:textId="18EFCEE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第二十三条</w:t>
      </w:r>
      <w:r>
        <w:rPr>
          <w:rFonts w:ascii="仿宋_GB2312" w:eastAsia="仿宋_GB2312" w:hint="eastAsia"/>
          <w:sz w:val="30"/>
          <w:szCs w:val="30"/>
        </w:rPr>
        <w:t xml:space="preserve"> 竞价交易信息发布。交易委托方应以“购销双</w:t>
      </w:r>
      <w:r>
        <w:rPr>
          <w:rFonts w:ascii="仿宋_GB2312" w:eastAsia="仿宋_GB2312" w:hint="eastAsia"/>
          <w:sz w:val="30"/>
          <w:szCs w:val="30"/>
        </w:rPr>
        <w:lastRenderedPageBreak/>
        <w:t>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14:paraId="7A6BCB61"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146640F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31D675BB"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0B6F5D68"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进入中储粮网竞价专场，应点击计算机报价，竞价数量已超过预交保证金所能购买数量的不可</w:t>
      </w:r>
      <w:r>
        <w:rPr>
          <w:rFonts w:ascii="仿宋_GB2312" w:eastAsia="仿宋_GB2312" w:hAnsi="宋体" w:cs="仿宋_GB2312"/>
          <w:spacing w:val="6"/>
          <w:kern w:val="0"/>
          <w:sz w:val="30"/>
          <w:szCs w:val="30"/>
        </w:rPr>
        <w:lastRenderedPageBreak/>
        <w:t>再参加竞价。</w:t>
      </w:r>
    </w:p>
    <w:p w14:paraId="4A5F036C"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3A13194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利用计算机按交易节逐节进行应价。在竞价专场公告对报价无特殊声明情况下，竞价专场从销售标底价开始报价，</w:t>
      </w:r>
      <w:r>
        <w:rPr>
          <w:rFonts w:ascii="仿宋_GB2312" w:eastAsia="仿宋_GB2312" w:hAnsi="仿宋_GB2312" w:cs="仿宋_GB2312" w:hint="eastAsia"/>
          <w:b/>
          <w:bCs/>
          <w:spacing w:val="6"/>
          <w:sz w:val="30"/>
          <w:szCs w:val="30"/>
        </w:rPr>
        <w:t>本场报价递增幅度以公告为准</w:t>
      </w:r>
      <w:r>
        <w:rPr>
          <w:rFonts w:ascii="仿宋_GB2312" w:eastAsia="仿宋_GB2312" w:hAnsi="宋体" w:hint="eastAsia"/>
          <w:spacing w:val="6"/>
          <w:sz w:val="30"/>
          <w:szCs w:val="30"/>
        </w:rPr>
        <w:t>。特殊情况以竞价交易专场公告为准。</w:t>
      </w:r>
    </w:p>
    <w:p w14:paraId="09BCB659"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报价后，在规定的时间内如无其它竞价参与方以更高的价格报价，则以该报价为标的的销售成交价，该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为标的销售合同的买受人，同时也是对应该标的采购合同的供货人。</w:t>
      </w:r>
    </w:p>
    <w:p w14:paraId="27AC1EB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11243186" w14:textId="77777777" w:rsidR="00207573" w:rsidRDefault="00F261D9">
      <w:pPr>
        <w:tabs>
          <w:tab w:val="left" w:pos="-180"/>
          <w:tab w:val="left" w:pos="2012"/>
        </w:tabs>
        <w:ind w:firstLineChars="200" w:firstLine="600"/>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348C94A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第三十三条</w:t>
      </w:r>
      <w:r>
        <w:rPr>
          <w:rFonts w:ascii="仿宋_GB2312" w:eastAsia="仿宋_GB2312" w:hint="eastAsia"/>
          <w:sz w:val="30"/>
          <w:szCs w:val="30"/>
        </w:rPr>
        <w:t xml:space="preserve"> 成交合同自委托、中标双方于中储粮网成交之</w:t>
      </w:r>
      <w:r>
        <w:rPr>
          <w:rFonts w:ascii="仿宋_GB2312" w:eastAsia="仿宋_GB2312" w:hint="eastAsia"/>
          <w:sz w:val="30"/>
          <w:szCs w:val="30"/>
        </w:rPr>
        <w:lastRenderedPageBreak/>
        <w:t>时起生效。</w:t>
      </w:r>
    </w:p>
    <w:bookmarkEnd w:id="0"/>
    <w:bookmarkEnd w:id="1"/>
    <w:p w14:paraId="102ED21D" w14:textId="77777777" w:rsidR="00207573" w:rsidRDefault="00207573">
      <w:pPr>
        <w:tabs>
          <w:tab w:val="left" w:pos="0"/>
          <w:tab w:val="left" w:pos="1303"/>
        </w:tabs>
        <w:ind w:firstLineChars="200" w:firstLine="600"/>
        <w:rPr>
          <w:rFonts w:ascii="仿宋_GB2312" w:eastAsia="仿宋_GB2312"/>
          <w:sz w:val="30"/>
          <w:szCs w:val="30"/>
        </w:rPr>
      </w:pPr>
    </w:p>
    <w:p w14:paraId="6F3F4C0B" w14:textId="77777777" w:rsidR="00207573" w:rsidRDefault="00F261D9">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6A5533F6"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14:paraId="61B748D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4F727690"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753B41F5"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7D5E576D"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274CE184"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保证金抵货款：只有当合同交割率≥70%，并且保证金金额</w:t>
      </w:r>
      <w:r>
        <w:rPr>
          <w:rFonts w:ascii="仿宋_GB2312" w:eastAsia="仿宋_GB2312" w:hint="eastAsia"/>
          <w:sz w:val="30"/>
          <w:szCs w:val="30"/>
        </w:rPr>
        <w:lastRenderedPageBreak/>
        <w:t>≥未付货款时，保证金方可抵货款。</w:t>
      </w:r>
    </w:p>
    <w:p w14:paraId="4B74549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48DE750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193B98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发货。委托方（中标方）安排发货前应通知中标方（委托方）；在发货后，需在中储粮网进行“安排发货”操作。</w:t>
      </w:r>
    </w:p>
    <w:p w14:paraId="1E4811F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第四十条 </w:t>
      </w:r>
      <w:r>
        <w:rPr>
          <w:rFonts w:ascii="仿宋_GB2312" w:eastAsia="仿宋_GB2312" w:hint="eastAsia"/>
          <w:sz w:val="30"/>
          <w:szCs w:val="30"/>
        </w:rPr>
        <w:t>交割期。交割期原则上按照双方合同约定执行，销售合同和采购合同的履约期限和出入库期限以交易清单为准。如有特殊情况，需延长交割期的，需协商交易对方，经对方同意后延期交割（委托方延期出入库行为须先上报所在分（子）公司，得到有效批复后方可在批准的时间内延长交割期）。</w:t>
      </w:r>
    </w:p>
    <w:p w14:paraId="4DE6F53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货物验收。中标方（委托方）对发运货物进行验收确认后，应及时在中储粮网进行“买方验收”操作。</w:t>
      </w:r>
    </w:p>
    <w:p w14:paraId="305B3FAA"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验收包括质量验收和数量验收。数量、质量均以交易标的实物为准，不做水、杂增扣量。</w:t>
      </w:r>
    </w:p>
    <w:p w14:paraId="37A62510"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lastRenderedPageBreak/>
        <w:t>所用计量衡器以委托方院内计量衡器为准，但该衡器必须是经具有国家认可资质的技术监督部门鉴定合格、并在鉴定的有效期内。双方必须接受对方对所用计量衡器准确性进行确认的行为。如有异议，立即停止发运，双方协商，必要时请当地具备资质的技术监督部门重新鉴定，费用由过错方承担。</w:t>
      </w:r>
    </w:p>
    <w:p w14:paraId="7BE8BB83"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交易结算。委托方（中标方）在中储粮网提交“申请完结”操作，另一方同意后，中储粮网将会员剩余保证金自动释放至双方会员的资金账户内（如有违约情况参照本细则第七章违约相关规定执行）。</w:t>
      </w:r>
      <w:r>
        <w:rPr>
          <w:rFonts w:ascii="仿宋_GB2312" w:eastAsia="仿宋_GB2312" w:hAnsi="仿宋_GB2312" w:cs="仿宋_GB2312" w:hint="eastAsia"/>
          <w:sz w:val="30"/>
          <w:szCs w:val="30"/>
        </w:rPr>
        <w:t>卖方按照买方要求分批或一次性提供符合国家规定的有效发票。</w:t>
      </w:r>
    </w:p>
    <w:p w14:paraId="2A6E959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6F6D85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解约。双方经协商均同意终止合同时（委托方</w:t>
      </w:r>
      <w:r>
        <w:rPr>
          <w:rFonts w:ascii="仿宋_GB2312" w:eastAsia="仿宋_GB2312" w:hint="eastAsia"/>
          <w:bCs/>
          <w:sz w:val="30"/>
          <w:szCs w:val="30"/>
        </w:rPr>
        <w:t>做解约操作前，必须经所在分公司同意并得到相关批复后方可操作</w:t>
      </w:r>
      <w:r>
        <w:rPr>
          <w:rFonts w:ascii="仿宋_GB2312" w:eastAsia="仿宋_GB2312" w:hint="eastAsia"/>
          <w:sz w:val="30"/>
          <w:szCs w:val="30"/>
        </w:rPr>
        <w:t>），由其中一方在中储粮网中提出交割终止申请，另外一方确认即可解约。当交割率达70%以上时，中储粮网正常释放保证</w:t>
      </w:r>
      <w:r>
        <w:rPr>
          <w:rFonts w:ascii="仿宋_GB2312" w:eastAsia="仿宋_GB2312" w:hint="eastAsia"/>
          <w:sz w:val="30"/>
          <w:szCs w:val="30"/>
        </w:rPr>
        <w:lastRenderedPageBreak/>
        <w:t>金；当交割率低于70%时，自中储粮网判定终止有效日起，30个自然日后退回保证金。</w:t>
      </w:r>
    </w:p>
    <w:p w14:paraId="579C74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28201E96" w14:textId="77777777" w:rsidR="00207573" w:rsidRDefault="00207573">
      <w:pPr>
        <w:tabs>
          <w:tab w:val="left" w:pos="-180"/>
        </w:tabs>
        <w:ind w:firstLineChars="200" w:firstLine="600"/>
        <w:rPr>
          <w:rFonts w:ascii="仿宋_GB2312" w:eastAsia="仿宋_GB2312"/>
          <w:sz w:val="30"/>
          <w:szCs w:val="30"/>
        </w:rPr>
      </w:pPr>
    </w:p>
    <w:p w14:paraId="734218FC"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49C57A1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37EA095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（一）不履行或不完全履行成交合同义务的行为；</w:t>
      </w:r>
    </w:p>
    <w:p w14:paraId="28753CE7" w14:textId="715B5E2C"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（二）对交易中心及商务协调小组调解结果未提出书面异议但不履行或不完全履行该调解结果的行为；</w:t>
      </w:r>
    </w:p>
    <w:p w14:paraId="34AE2BC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18D2648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5A679D2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5405DD81"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000F7802" w14:textId="77777777" w:rsidR="00207573" w:rsidRDefault="00F261D9">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6C7B858B" w14:textId="77777777" w:rsidR="00207573" w:rsidRDefault="00F261D9">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lastRenderedPageBreak/>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59BF14C4" w14:textId="77777777" w:rsidR="00207573" w:rsidRDefault="00F261D9">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128C80A4" w14:textId="77777777" w:rsidR="00207573" w:rsidRDefault="00F261D9">
      <w:pPr>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332FDA76"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4DDCB443"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26FC4E8D"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385E336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10E657B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w:t>
      </w:r>
      <w:r>
        <w:rPr>
          <w:rFonts w:ascii="仿宋_GB2312" w:eastAsia="仿宋_GB2312" w:hint="eastAsia"/>
          <w:sz w:val="30"/>
          <w:szCs w:val="30"/>
        </w:rPr>
        <w:lastRenderedPageBreak/>
        <w:t>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6FBF35BB"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157D409F"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b/>
          <w:sz w:val="30"/>
          <w:szCs w:val="30"/>
        </w:rPr>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0124C6A4" w14:textId="6EB48253"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在保证网上交易公平、公正、公开的前提下，交易中心有权对会员注册数据及交易数据进行查阅，并可按照法定程序、</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的规定将数据提供给相关行政管理部门。</w:t>
      </w:r>
    </w:p>
    <w:p w14:paraId="7AE541DD" w14:textId="77777777" w:rsidR="00207573" w:rsidRDefault="00207573">
      <w:pPr>
        <w:tabs>
          <w:tab w:val="left" w:pos="-180"/>
        </w:tabs>
        <w:ind w:firstLineChars="200" w:firstLine="600"/>
        <w:jc w:val="center"/>
        <w:rPr>
          <w:rFonts w:ascii="黑体" w:eastAsia="黑体" w:hAnsi="黑体"/>
          <w:sz w:val="30"/>
          <w:szCs w:val="30"/>
        </w:rPr>
      </w:pPr>
    </w:p>
    <w:p w14:paraId="481CB5A5"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107151C9" w14:textId="30CFC648" w:rsidR="00207573" w:rsidRDefault="00F261D9">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lastRenderedPageBreak/>
        <w:t>第五十三条</w:t>
      </w:r>
      <w:r>
        <w:rPr>
          <w:rFonts w:ascii="仿宋_GB2312" w:eastAsia="仿宋_GB2312" w:hint="eastAsia"/>
          <w:sz w:val="30"/>
          <w:szCs w:val="30"/>
        </w:rPr>
        <w:t xml:space="preserve"> 本细则的解释权归</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所有。</w:t>
      </w:r>
    </w:p>
    <w:p w14:paraId="665B5380"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589F3A47" w14:textId="31AC6BFF" w:rsidR="00207573" w:rsidRDefault="00F261D9">
      <w:pPr>
        <w:tabs>
          <w:tab w:val="left" w:pos="-180"/>
          <w:tab w:val="left" w:pos="2012"/>
        </w:tabs>
        <w:ind w:firstLineChars="200" w:firstLine="600"/>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内蒙古分公司</w:t>
      </w:r>
      <w:r>
        <w:rPr>
          <w:rFonts w:ascii="仿宋_GB2312" w:eastAsia="仿宋_GB2312" w:hint="eastAsia"/>
          <w:sz w:val="30"/>
          <w:szCs w:val="30"/>
        </w:rPr>
        <w:t>委托的本竞价专场交易，并自发布之日起执行。</w:t>
      </w:r>
    </w:p>
    <w:sectPr w:rsidR="0020757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48FB"/>
    <w:rsid w:val="00015D6F"/>
    <w:rsid w:val="00057888"/>
    <w:rsid w:val="000602ED"/>
    <w:rsid w:val="00074C88"/>
    <w:rsid w:val="000807CA"/>
    <w:rsid w:val="000A0FE7"/>
    <w:rsid w:val="000B1D6E"/>
    <w:rsid w:val="000C0C39"/>
    <w:rsid w:val="000C171D"/>
    <w:rsid w:val="000D5C56"/>
    <w:rsid w:val="000F6857"/>
    <w:rsid w:val="001009E4"/>
    <w:rsid w:val="001029A6"/>
    <w:rsid w:val="0010520B"/>
    <w:rsid w:val="001155FA"/>
    <w:rsid w:val="00121C84"/>
    <w:rsid w:val="0019295F"/>
    <w:rsid w:val="00193744"/>
    <w:rsid w:val="001A5243"/>
    <w:rsid w:val="001C27D4"/>
    <w:rsid w:val="001C597A"/>
    <w:rsid w:val="00207573"/>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C4EE0"/>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AE6F15"/>
    <w:rsid w:val="00B04612"/>
    <w:rsid w:val="00B1415E"/>
    <w:rsid w:val="00B2646C"/>
    <w:rsid w:val="00B542C9"/>
    <w:rsid w:val="00BD57A5"/>
    <w:rsid w:val="00BF5386"/>
    <w:rsid w:val="00C038A7"/>
    <w:rsid w:val="00C16D08"/>
    <w:rsid w:val="00C500CC"/>
    <w:rsid w:val="00C7052D"/>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46450B4"/>
    <w:rsid w:val="14DC140F"/>
    <w:rsid w:val="15AF3A1E"/>
    <w:rsid w:val="16343652"/>
    <w:rsid w:val="16DC49E9"/>
    <w:rsid w:val="172F68A1"/>
    <w:rsid w:val="178B6E13"/>
    <w:rsid w:val="179F4495"/>
    <w:rsid w:val="184C2847"/>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55738"/>
  <w15:docId w15:val="{B6FB50D5-F9FD-40AA-B680-ED5F58375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ntTable.xml" Type="http://schemas.openxmlformats.org/officeDocument/2006/relationships/fontTab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15</Pages>
  <Words>1053</Words>
  <Characters>6005</Characters>
  <Application>Microsoft Office Word</Application>
  <DocSecurity>0</DocSecurity>
  <Lines>50</Lines>
  <Paragraphs>14</Paragraphs>
  <ScaleCrop>false</ScaleCrop>
  <Company>Lenovo</Company>
  <LinksUpToDate>false</LinksUpToDate>
  <CharactersWithSpaces>7044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sysun</dc:creator>
  <cp:lastModifiedBy>Microsoft Office User</cp:lastModifiedBy>
  <cp:lastPrinted>2019-01-08T06:43:00Z</cp:lastPrinted>
  <dcterms:modified xsi:type="dcterms:W3CDTF">2024-06-21T13:23:00Z</dcterms:modified>
  <cp:revision>83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