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b/>
          <w:sz w:val="44"/>
          <w:szCs w:val="44"/>
        </w:rPr>
      </w:pPr>
      <w:bookmarkStart w:id="2" w:name="_GoBack"/>
      <w:bookmarkEnd w:id="2"/>
    </w:p>
    <w:p>
      <w:pPr>
        <w:rPr>
          <w:rFonts w:ascii="仿宋_GB2312" w:hAnsi="仿宋_GB2312" w:eastAsia="仿宋_GB2312" w:cs="仿宋_GB2312"/>
          <w:b/>
          <w:sz w:val="44"/>
          <w:szCs w:val="44"/>
        </w:rPr>
      </w:pPr>
    </w:p>
    <w:p>
      <w:pPr>
        <w:jc w:val="center"/>
        <w:rPr>
          <w:rFonts w:ascii="仿宋_GB2312" w:hAnsi="仿宋_GB2312" w:eastAsia="仿宋_GB2312" w:cs="仿宋_GB2312"/>
          <w:b/>
          <w:sz w:val="36"/>
          <w:szCs w:val="36"/>
        </w:rPr>
      </w:pPr>
      <w:r>
        <w:rPr>
          <w:rFonts w:ascii="仿宋_GB2312" w:hAnsi="仿宋_GB2312" w:eastAsia="仿宋_GB2312" w:cs="仿宋_GB2312"/>
          <w:b/>
          <w:sz w:val="36"/>
          <w:szCs w:val="36"/>
        </w:rPr>
        <w:t>中储粮福建分公司稻谷竞价销售专场交易细则（2025年11月20日试行）</w:t>
      </w:r>
    </w:p>
    <w:p>
      <w:pPr>
        <w:jc w:val="center"/>
        <w:rPr>
          <w:rFonts w:ascii="仿宋_GB2312" w:hAnsi="仿宋_GB2312" w:eastAsia="仿宋_GB2312" w:cs="仿宋_GB2312"/>
        </w:rPr>
      </w:pPr>
    </w:p>
    <w:p>
      <w:pPr>
        <w:jc w:val="center"/>
        <w:rPr>
          <w:rFonts w:ascii="仿宋_GB2312" w:hAnsi="仿宋_GB2312" w:eastAsia="仿宋_GB2312" w:cs="仿宋_GB231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b/>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本细则涉及的交易信息和标的物，仅限于委托中储粮网竞价销售标的。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 w:val="left" w:pos="2012"/>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交易模式：此批竞价销售受中储粮</w:t>
      </w:r>
      <w:r>
        <w:rPr>
          <w:rFonts w:ascii="仿宋_GB2312" w:hAnsi="仿宋_GB2312" w:eastAsia="仿宋_GB2312" w:cs="仿宋_GB2312"/>
          <w:sz w:val="32"/>
          <w:szCs w:val="32"/>
        </w:rPr>
        <w:t>福建分公司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hint="eastAsia" w:ascii="仿宋_GB2312" w:hAnsi="仿宋_GB2312" w:eastAsia="仿宋_GB2312" w:cs="仿宋_GB2312"/>
          <w:b/>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40" w:firstLineChars="200"/>
        <w:rPr>
          <w:rFonts w:ascii="仿宋_GB2312" w:hAnsi="仿宋_GB2312" w:eastAsia="仿宋_GB2312" w:cs="仿宋_GB2312"/>
          <w:sz w:val="32"/>
          <w:szCs w:val="32"/>
          <w:highlight w:val="yellow"/>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第五章 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中储粮网受中储粮</w:t>
      </w:r>
      <w:r>
        <w:rPr>
          <w:rFonts w:ascii="仿宋_GB2312" w:hAnsi="仿宋_GB2312" w:eastAsia="仿宋_GB2312" w:cs="仿宋_GB2312"/>
          <w:sz w:val="32"/>
          <w:szCs w:val="32"/>
        </w:rPr>
        <w:t>福建分公司</w:t>
      </w:r>
      <w:r>
        <w:rPr>
          <w:rFonts w:hint="eastAsia" w:ascii="仿宋_GB2312" w:hAnsi="仿宋_GB2312" w:eastAsia="仿宋_GB2312" w:cs="仿宋_GB2312"/>
          <w:sz w:val="32"/>
          <w:szCs w:val="32"/>
        </w:rPr>
        <w:t>委托，组建竞价专场，交易信息以专场标的形式展现；应价方在专场交易的规定时间内可对选定的标的，以向上的出价方式进行公开竞价。</w:t>
      </w:r>
      <w:r>
        <w:rPr>
          <w:rFonts w:hint="eastAsia" w:ascii="仿宋_GB2312" w:hAnsi="仿宋_GB2312" w:eastAsia="仿宋_GB2312" w:cs="仿宋_GB2312"/>
          <w:sz w:val="32"/>
          <w:szCs w:val="32"/>
          <w:lang w:val="en-US" w:eastAsia="zh-CN"/>
        </w:rPr>
        <w:t>竞价</w:t>
      </w:r>
      <w:r>
        <w:rPr>
          <w:rFonts w:hint="eastAsia" w:ascii="仿宋_GB2312" w:hAnsi="仿宋_GB2312" w:eastAsia="仿宋_GB2312" w:cs="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hAnsi="仿宋_GB2312" w:eastAsia="仿宋_GB2312" w:cs="仿宋_GB2312"/>
          <w:sz w:val="32"/>
          <w:szCs w:val="32"/>
        </w:rPr>
        <w:t>的原则成交。</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pPr>
        <w:tabs>
          <w:tab w:val="left" w:pos="-180"/>
          <w:tab w:val="left" w:pos="1303"/>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Cs/>
          <w:sz w:val="32"/>
          <w:szCs w:val="32"/>
        </w:rPr>
        <w:t>本场竞价销售交易挂拍价格类型以</w:t>
      </w:r>
      <w:r>
        <w:rPr>
          <w:rFonts w:hint="eastAsia" w:ascii="仿宋_GB2312" w:hAnsi="仿宋_GB2312" w:eastAsia="仿宋_GB2312" w:cs="仿宋_GB2312"/>
          <w:sz w:val="32"/>
          <w:szCs w:val="32"/>
        </w:rPr>
        <w:t>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本场竞价交易所有标的成交价格</w:t>
      </w:r>
      <w:r>
        <w:rPr>
          <w:rFonts w:hint="eastAsia" w:ascii="仿宋_GB2312" w:hAnsi="仿宋_GB2312" w:eastAsia="仿宋_GB2312" w:cs="仿宋_GB2312"/>
          <w:sz w:val="32"/>
          <w:szCs w:val="32"/>
          <w:lang w:val="en-US" w:eastAsia="zh-CN"/>
        </w:rPr>
        <w:t>原则上</w:t>
      </w:r>
      <w:r>
        <w:rPr>
          <w:rFonts w:hint="default" w:ascii="仿宋_GB2312" w:hAnsi="仿宋_GB2312" w:eastAsia="仿宋_GB2312" w:cs="仿宋_GB2312"/>
          <w:sz w:val="32"/>
          <w:szCs w:val="32"/>
        </w:rPr>
        <w:t>均</w:t>
      </w:r>
      <w:r>
        <w:rPr>
          <w:rFonts w:hint="eastAsia" w:ascii="仿宋_GB2312" w:hAnsi="仿宋_GB2312" w:eastAsia="仿宋_GB2312" w:cs="仿宋_GB2312"/>
          <w:sz w:val="32"/>
          <w:szCs w:val="32"/>
        </w:rPr>
        <w:t>为散粮成交价格</w:t>
      </w:r>
      <w:r>
        <w:rPr>
          <w:rFonts w:hint="eastAsia" w:ascii="仿宋_GB2312" w:hAnsi="仿宋_GB2312" w:eastAsia="仿宋_GB2312" w:cs="仿宋_GB2312"/>
          <w:b/>
          <w:bCs/>
          <w:sz w:val="32"/>
          <w:szCs w:val="32"/>
        </w:rPr>
        <w:t>，</w:t>
      </w:r>
      <w:bookmarkStart w:id="1" w:name="_Hlk48142177"/>
      <w:r>
        <w:rPr>
          <w:rFonts w:hint="eastAsia" w:ascii="仿宋_GB2312" w:hAnsi="仿宋_GB2312" w:eastAsia="仿宋_GB2312" w:cs="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hAnsi="仿宋_GB2312" w:eastAsia="仿宋_GB2312" w:cs="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pPr>
        <w:tabs>
          <w:tab w:val="left" w:pos="-180"/>
          <w:tab w:val="left" w:pos="2012"/>
        </w:tabs>
        <w:ind w:firstLine="667" w:firstLineChars="200"/>
        <w:rPr>
          <w:rFonts w:ascii="仿宋_GB2312" w:hAnsi="仿宋_GB2312" w:eastAsia="仿宋_GB2312" w:cs="仿宋_GB2312"/>
          <w:spacing w:val="6"/>
          <w:sz w:val="32"/>
          <w:szCs w:val="32"/>
        </w:rPr>
      </w:pPr>
      <w:r>
        <w:rPr>
          <w:rFonts w:hint="eastAsia" w:ascii="仿宋_GB2312" w:hAnsi="仿宋_GB2312" w:eastAsia="仿宋_GB2312" w:cs="仿宋_GB2312"/>
          <w:b/>
          <w:spacing w:val="6"/>
          <w:sz w:val="32"/>
          <w:szCs w:val="32"/>
        </w:rPr>
        <w:t>第二十</w:t>
      </w:r>
      <w:r>
        <w:rPr>
          <w:rFonts w:hint="eastAsia" w:ascii="仿宋_GB2312" w:hAnsi="仿宋_GB2312" w:eastAsia="仿宋_GB2312" w:cs="仿宋_GB2312"/>
          <w:b/>
          <w:spacing w:val="6"/>
          <w:sz w:val="32"/>
          <w:szCs w:val="32"/>
          <w:lang w:val="en-US" w:eastAsia="zh-CN"/>
        </w:rPr>
        <w:t>五</w:t>
      </w:r>
      <w:r>
        <w:rPr>
          <w:rFonts w:hint="eastAsia" w:ascii="仿宋_GB2312" w:hAnsi="仿宋_GB2312" w:eastAsia="仿宋_GB2312" w:cs="仿宋_GB2312"/>
          <w:b/>
          <w:spacing w:val="6"/>
          <w:sz w:val="32"/>
          <w:szCs w:val="32"/>
        </w:rPr>
        <w:t>条</w:t>
      </w:r>
      <w:r>
        <w:rPr>
          <w:rFonts w:hint="eastAsia" w:ascii="仿宋_GB2312" w:hAnsi="仿宋_GB2312" w:eastAsia="仿宋_GB2312" w:cs="仿宋_GB2312"/>
          <w:spacing w:val="6"/>
          <w:sz w:val="32"/>
          <w:szCs w:val="32"/>
        </w:rPr>
        <w:t xml:space="preserve"> 竞价交易按委托标的序号顺序，依次按交易节进行。</w:t>
      </w:r>
    </w:p>
    <w:p>
      <w:pPr>
        <w:pStyle w:val="3"/>
        <w:ind w:firstLine="667"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b/>
          <w:spacing w:val="6"/>
          <w:kern w:val="0"/>
          <w:sz w:val="32"/>
          <w:szCs w:val="32"/>
        </w:rPr>
        <w:t>第二十</w:t>
      </w:r>
      <w:r>
        <w:rPr>
          <w:rFonts w:hint="eastAsia" w:ascii="仿宋_GB2312" w:hAnsi="仿宋_GB2312" w:eastAsia="仿宋_GB2312" w:cs="仿宋_GB2312"/>
          <w:b/>
          <w:spacing w:val="6"/>
          <w:kern w:val="0"/>
          <w:sz w:val="32"/>
          <w:szCs w:val="32"/>
          <w:lang w:val="en-US" w:eastAsia="zh-CN"/>
        </w:rPr>
        <w:t>六</w:t>
      </w:r>
      <w:r>
        <w:rPr>
          <w:rFonts w:hint="eastAsia" w:ascii="仿宋_GB2312" w:hAnsi="仿宋_GB2312" w:eastAsia="仿宋_GB2312" w:cs="仿宋_GB2312"/>
          <w:b/>
          <w:spacing w:val="6"/>
          <w:kern w:val="0"/>
          <w:sz w:val="32"/>
          <w:szCs w:val="32"/>
        </w:rPr>
        <w:t>条</w:t>
      </w:r>
      <w:r>
        <w:rPr>
          <w:rFonts w:hint="eastAsia" w:ascii="仿宋_GB2312" w:hAnsi="仿宋_GB2312" w:eastAsia="仿宋_GB2312" w:cs="仿宋_GB2312"/>
          <w:spacing w:val="6"/>
          <w:kern w:val="0"/>
          <w:sz w:val="32"/>
          <w:szCs w:val="32"/>
        </w:rPr>
        <w:t xml:space="preserve"> 竞买人进入中储粮网竞价专场，应点击计算机报价，竞价数量已超过预交保证金所能购买数量的不可再参加竞价。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ind w:firstLine="640" w:firstLineChars="200"/>
        <w:rPr>
          <w:rFonts w:ascii="仿宋_GB2312" w:eastAsia="仿宋_GB2312"/>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第二十八条</w:t>
      </w:r>
      <w:r>
        <w:rPr>
          <w:rFonts w:hint="eastAsia" w:ascii="仿宋_GB2312" w:hAnsi="仿宋_GB2312" w:eastAsia="仿宋_GB2312" w:cs="仿宋_GB2312"/>
          <w:sz w:val="32"/>
          <w:szCs w:val="32"/>
        </w:rPr>
        <w:t xml:space="preserve"> 应价。</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利用计算机按交易节逐节进行应价。在竞价专场公告对报价无特殊声明情况下，竞价销售专场从标底价开始报价，</w:t>
      </w:r>
      <w:r>
        <w:rPr>
          <w:rFonts w:hint="eastAsia" w:ascii="仿宋_GB2312" w:hAnsi="仿宋_GB2312" w:eastAsia="仿宋_GB2312" w:cs="仿宋_GB2312"/>
          <w:b/>
          <w:bCs/>
          <w:spacing w:val="6"/>
          <w:sz w:val="32"/>
          <w:szCs w:val="32"/>
        </w:rPr>
        <w:t>本场报价递增幅度以公告为准。</w:t>
      </w:r>
      <w:r>
        <w:rPr>
          <w:rFonts w:hint="eastAsia" w:ascii="仿宋_GB2312" w:hAnsi="仿宋_GB2312" w:eastAsia="仿宋_GB2312" w:cs="仿宋_GB2312"/>
          <w:spacing w:val="6"/>
          <w:sz w:val="32"/>
          <w:szCs w:val="32"/>
        </w:rPr>
        <w:t>特殊情况以最新竞价交易专场公告为准。</w:t>
      </w:r>
    </w:p>
    <w:p>
      <w:pPr>
        <w:tabs>
          <w:tab w:val="left" w:pos="-180"/>
          <w:tab w:val="left" w:pos="2012"/>
        </w:tabs>
        <w:ind w:firstLine="667" w:firstLineChars="200"/>
        <w:rPr>
          <w:rFonts w:ascii="仿宋_GB2312" w:hAnsi="仿宋_GB2312" w:eastAsia="仿宋_GB2312" w:cs="仿宋_GB2312"/>
          <w:sz w:val="32"/>
          <w:szCs w:val="32"/>
        </w:rPr>
      </w:pPr>
      <w:r>
        <w:rPr>
          <w:rFonts w:hint="eastAsia" w:ascii="仿宋_GB2312" w:hAnsi="仿宋_GB2312" w:eastAsia="仿宋_GB2312" w:cs="仿宋_GB2312"/>
          <w:b/>
          <w:spacing w:val="6"/>
          <w:kern w:val="0"/>
          <w:sz w:val="32"/>
          <w:szCs w:val="32"/>
        </w:rPr>
        <w:t>第二十九条</w:t>
      </w:r>
      <w:r>
        <w:rPr>
          <w:rFonts w:hint="eastAsia" w:ascii="仿宋_GB2312" w:hAnsi="仿宋_GB2312" w:eastAsia="仿宋_GB2312" w:cs="仿宋_GB2312"/>
          <w:spacing w:val="6"/>
          <w:kern w:val="0"/>
          <w:sz w:val="32"/>
          <w:szCs w:val="32"/>
        </w:rPr>
        <w:t xml:space="preserve"> 竞买方</w:t>
      </w:r>
      <w:r>
        <w:rPr>
          <w:rFonts w:hint="eastAsia" w:ascii="仿宋_GB2312" w:hAnsi="仿宋_GB2312" w:eastAsia="仿宋_GB2312" w:cs="仿宋_GB2312"/>
          <w:spacing w:val="6"/>
          <w:sz w:val="32"/>
          <w:szCs w:val="32"/>
        </w:rPr>
        <w:t>在新价位应价并被系统确认后，前一价位的应价自动失效。</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报价后，在规定的时间内如无其它竞买方以更高的价格报价，则以该报价为标的的成交价，该</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为标的的买受人。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第三十条</w:t>
      </w:r>
      <w:r>
        <w:rPr>
          <w:rFonts w:hint="eastAsia" w:ascii="仿宋_GB2312" w:hAnsi="仿宋_GB2312" w:eastAsia="仿宋_GB2312" w:cs="仿宋_GB2312"/>
          <w:sz w:val="32"/>
          <w:szCs w:val="32"/>
        </w:rPr>
        <w:t xml:space="preserve"> 竞价交易专场进行期间，交易委托方</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撤销标的，而</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一经应价，也不得撤回</w:t>
      </w:r>
      <w:r>
        <w:rPr>
          <w:rFonts w:hint="eastAsia" w:ascii="仿宋_GB2312" w:hAnsi="仿宋_GB2312" w:eastAsia="仿宋_GB2312" w:cs="仿宋_GB2312"/>
          <w:spacing w:val="6"/>
          <w:sz w:val="32"/>
          <w:szCs w:val="32"/>
          <w:lang w:val="zh-CN"/>
        </w:rPr>
        <w:t>。专场中的标的</w:t>
      </w:r>
      <w:r>
        <w:rPr>
          <w:rFonts w:hint="eastAsia" w:ascii="仿宋_GB2312" w:hAnsi="仿宋_GB2312" w:eastAsia="仿宋_GB2312" w:cs="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0"/>
          <w:tab w:val="left" w:pos="1303"/>
        </w:tabs>
        <w:ind w:firstLine="643" w:firstLineChars="200"/>
        <w:rPr>
          <w:rFonts w:hint="eastAsia" w:ascii="仿宋_GB2312" w:eastAsia="仿宋_GB2312"/>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0"/>
          <w:tab w:val="left" w:pos="1303"/>
        </w:tabs>
        <w:ind w:firstLine="640" w:firstLineChars="200"/>
        <w:rPr>
          <w:rFonts w:hint="eastAsia" w:ascii="仿宋_GB2312" w:eastAsia="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第六章 交割结算</w:t>
      </w:r>
    </w:p>
    <w:p>
      <w:pPr>
        <w:tabs>
          <w:tab w:val="left" w:pos="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交割方式。本专场竞价交易全部采取“先款后货”的交割方式，交易所涉及的保证金、货款必须通过中储粮网支付。卖方承储企业不得违反中储粮集团公司赊销预付管理有关规定。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先款后货：买方将货款一次或分批支付后，卖方再安排一次性发货或根据买方支付款项所对应的粮食数量分批进行发货的付款方式。</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交易手续费。</w:t>
      </w:r>
      <w:r>
        <w:rPr>
          <w:rFonts w:hint="eastAsia" w:ascii="仿宋_GB2312" w:hAnsi="仿宋_GB2312" w:eastAsia="仿宋_GB2312" w:cs="仿宋_GB2312"/>
          <w:b/>
          <w:sz w:val="32"/>
          <w:szCs w:val="32"/>
        </w:rPr>
        <w:t>此次专场竞价交易免交易手续费</w:t>
      </w:r>
      <w:r>
        <w:rPr>
          <w:rFonts w:hint="eastAsia" w:ascii="仿宋_GB2312" w:hAnsi="仿宋_GB2312" w:eastAsia="仿宋_GB2312" w:cs="仿宋_GB2312"/>
          <w:sz w:val="32"/>
          <w:szCs w:val="32"/>
        </w:rPr>
        <w:t>，但出现违约行为的按第七章违约相关规定执行。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货款支付。买方必须于交易合同生效之日起，在规定的出库期内完成全部货款的支付。中储粮网的货款支付方式有两种，直接支付与验收确认后支付。</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735"/>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保证金抵货款：只有当合同交割率≥70%，并且保证金金额≥未付货款时，保证金方可抵货款</w:t>
      </w:r>
      <w:r>
        <w:rPr>
          <w:rFonts w:hint="eastAsia" w:ascii="仿宋_GB2312" w:hAnsi="仿宋_GB2312" w:eastAsia="仿宋_GB2312" w:cs="仿宋_GB2312"/>
          <w:b/>
          <w:bCs/>
          <w:sz w:val="32"/>
          <w:szCs w:val="32"/>
        </w:rPr>
        <w:t>（部分专场不接受保证金抵货款，具体以公告约定为准）</w:t>
      </w:r>
      <w:r>
        <w:rPr>
          <w:rFonts w:hint="eastAsia" w:ascii="仿宋_GB2312" w:hAnsi="仿宋_GB2312" w:eastAsia="仿宋_GB2312" w:cs="仿宋_GB2312"/>
          <w:b/>
          <w:bCs/>
          <w:sz w:val="32"/>
          <w:szCs w:val="32"/>
          <w:lang w:eastAsia="zh-CN"/>
        </w:rPr>
        <w:t>。</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提货证明。买方会员提货时必须出具本企业的“营业执照”复印件及本企业《关于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发货。卖方会员安排发货前应通知买方会员；</w:t>
      </w:r>
      <w:r>
        <w:rPr>
          <w:rFonts w:hint="eastAsia" w:ascii="仿宋_GB2312" w:eastAsia="仿宋_GB2312"/>
          <w:sz w:val="32"/>
          <w:szCs w:val="32"/>
        </w:rPr>
        <w:t>发货方式和货物包装方式均依据成交合同执行。</w:t>
      </w:r>
      <w:r>
        <w:rPr>
          <w:rFonts w:hint="eastAsia" w:ascii="仿宋_GB2312" w:eastAsia="仿宋_GB2312"/>
          <w:sz w:val="32"/>
          <w:szCs w:val="32"/>
          <w:lang w:val="en-US" w:eastAsia="zh-CN"/>
        </w:rPr>
        <w:t>卖方会员</w:t>
      </w:r>
      <w:r>
        <w:rPr>
          <w:rFonts w:hint="eastAsia" w:ascii="仿宋_GB2312" w:hAnsi="仿宋_GB2312" w:eastAsia="仿宋_GB2312" w:cs="仿宋_GB2312"/>
          <w:sz w:val="32"/>
          <w:szCs w:val="32"/>
        </w:rPr>
        <w:t>在发货后，需在中储粮网进行“安排发货”操作。</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成交合同的履约时间为自交易合同生效之日起，履约期和出库期以交易清单为准。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验收包括质量验收和数量验收。数量、质量均以交易标的实物为准。</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hAnsi="仿宋_GB2312" w:eastAsia="仿宋_GB2312" w:cs="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hAnsi="仿宋_GB2312" w:eastAsia="仿宋_GB2312" w:cs="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hint="eastAsia" w:ascii="仿宋_GB2312" w:eastAsia="仿宋_GB2312"/>
          <w:color w:val="auto"/>
          <w:sz w:val="32"/>
          <w:szCs w:val="32"/>
          <w:lang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解约。买卖双方经协商均同意终止合同时（</w:t>
      </w:r>
      <w:r>
        <w:rPr>
          <w:rFonts w:hint="eastAsia" w:ascii="仿宋_GB2312" w:hAnsi="仿宋_GB2312" w:eastAsia="仿宋_GB2312" w:cs="仿宋_GB2312"/>
          <w:bCs/>
          <w:sz w:val="32"/>
          <w:szCs w:val="32"/>
        </w:rPr>
        <w:t>卖方做解约操作前，必须经所在分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公司同意并得到相关批复后方可操作</w:t>
      </w:r>
      <w:r>
        <w:rPr>
          <w:rFonts w:hint="eastAsia" w:ascii="仿宋_GB2312" w:hAnsi="仿宋_GB2312" w:eastAsia="仿宋_GB2312" w:cs="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eastAsia="仿宋_GB2312"/>
          <w:color w:val="auto"/>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 xml:space="preserve">条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tabs>
          <w:tab w:val="left" w:pos="-180"/>
        </w:tabs>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tabs>
          <w:tab w:val="left" w:pos="-180"/>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第九章 附则</w:t>
      </w:r>
    </w:p>
    <w:p>
      <w:pPr>
        <w:tabs>
          <w:tab w:val="left" w:pos="-180"/>
          <w:tab w:val="left" w:pos="2012"/>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本细则的解释权归</w:t>
      </w:r>
      <w:r>
        <w:rPr>
          <w:rFonts w:hint="eastAsia" w:ascii="仿宋_GB2312" w:eastAsia="仿宋_GB2312"/>
          <w:sz w:val="32"/>
          <w:szCs w:val="32"/>
        </w:rPr>
        <w:t>中储粮（雄安）粮油交易中心有限公司</w:t>
      </w:r>
      <w:r>
        <w:rPr>
          <w:rFonts w:hint="eastAsia" w:ascii="仿宋_GB2312" w:hAnsi="仿宋_GB2312" w:eastAsia="仿宋_GB2312" w:cs="仿宋_GB2312"/>
          <w:sz w:val="32"/>
          <w:szCs w:val="32"/>
        </w:rPr>
        <w:t>所有。</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本细则仅适用于</w:t>
      </w:r>
      <w:r>
        <w:rPr>
          <w:rFonts w:ascii="仿宋_GB2312" w:hAnsi="仿宋_GB2312" w:eastAsia="仿宋_GB2312" w:cs="仿宋_GB2312"/>
          <w:sz w:val="32"/>
          <w:szCs w:val="32"/>
        </w:rPr>
        <w:t>福建分公司</w:t>
      </w:r>
      <w:r>
        <w:rPr>
          <w:rFonts w:hint="eastAsia" w:ascii="仿宋_GB2312" w:hAnsi="仿宋_GB2312" w:eastAsia="仿宋_GB2312" w:cs="仿宋_GB2312"/>
          <w:sz w:val="32"/>
          <w:szCs w:val="32"/>
        </w:rPr>
        <w:t>委托的本竞价专场交易，并自发布之日起执行。</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批注框文本 字符"/>
    <w:link w:val="4"/>
    <w:qFormat/>
    <w:uiPriority w:val="99"/>
    <w:rPr>
      <w:kern w:val="2"/>
      <w:sz w:val="18"/>
      <w:szCs w:val="18"/>
    </w:rPr>
  </w:style>
  <w:style w:type="character" w:customStyle="1" w:styleId="18">
    <w:name w:val="批注文字 字符"/>
    <w:link w:val="3"/>
    <w:qFormat/>
    <w:uiPriority w:val="0"/>
    <w:rPr>
      <w:kern w:val="2"/>
      <w:sz w:val="21"/>
      <w:szCs w:val="24"/>
    </w:rPr>
  </w:style>
  <w:style w:type="character" w:customStyle="1" w:styleId="19">
    <w:name w:val="批注主题 字符"/>
    <w:link w:val="7"/>
    <w:qFormat/>
    <w:uiPriority w:val="0"/>
    <w:rPr>
      <w:b/>
      <w:bCs/>
      <w:kern w:val="2"/>
      <w:sz w:val="21"/>
      <w:szCs w:val="24"/>
    </w:rPr>
  </w:style>
  <w:style w:type="character" w:customStyle="1" w:styleId="20">
    <w:name w:val="文档结构图 字符"/>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1012</Words>
  <Characters>5774</Characters>
  <Lines>48</Lines>
  <Paragraphs>13</Paragraphs>
  <TotalTime>6</TotalTime>
  <ScaleCrop>false</ScaleCrop>
  <LinksUpToDate>false</LinksUpToDate>
  <CharactersWithSpaces>6773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陈贤锃</cp:lastModifiedBy>
  <cp:lastPrinted>2019-01-08T06:43:00Z</cp:lastPrinted>
  <dcterms:modified xsi:type="dcterms:W3CDTF">2025-07-31T00:42:07Z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