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7225E" w:rsidRDefault="0007225E">
      <w:pPr>
        <w:rPr>
          <w:rFonts w:ascii="黑体" w:eastAsia="黑体"/>
          <w:b/>
          <w:sz w:val="44"/>
          <w:szCs w:val="44"/>
        </w:rPr>
      </w:pPr>
    </w:p>
    <w:p w:rsidR="0007225E" w:rsidRDefault="0007225E">
      <w:pPr>
        <w:rPr>
          <w:rFonts w:ascii="黑体" w:eastAsia="黑体"/>
          <w:b/>
          <w:sz w:val="44"/>
          <w:szCs w:val="44"/>
        </w:rPr>
      </w:pPr>
    </w:p>
    <w:p w:rsidR="0007225E" w:rsidRDefault="00000000">
      <w:pPr>
        <w:jc w:val="center"/>
        <w:rPr>
          <w:rFonts w:ascii="宋体" w:hAnsi="宋体" w:cs="宋体"/>
          <w:b/>
          <w:sz w:val="36"/>
          <w:szCs w:val="36"/>
        </w:rPr>
      </w:pPr>
      <w:proofErr w:type="gramStart"/>
      <w:r>
        <w:rPr>
          <w:rFonts w:ascii="宋体" w:hAnsi="宋体" w:cs="宋体"/>
          <w:b/>
          <w:sz w:val="36"/>
          <w:szCs w:val="36"/>
        </w:rPr>
        <w:t xml:space="preserve">中储粮集团山西分公司玉米购销双向竞价专场交易细则(2026年4月21日试行)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07225E" w:rsidRDefault="0007225E">
      <w:pPr>
        <w:jc w:val="center"/>
        <w:rPr>
          <w:rFonts w:ascii="仿宋_GB2312" w:eastAsia="仿宋_GB2312"/>
        </w:rPr>
      </w:pPr>
    </w:p>
    <w:p w:rsidR="0007225E" w:rsidRDefault="0007225E">
      <w:pPr>
        <w:jc w:val="center"/>
        <w:rPr>
          <w:rFonts w:ascii="仿宋_GB2312" w:eastAsia="仿宋_GB2312"/>
        </w:rPr>
      </w:pPr>
    </w:p>
    <w:p w:rsidR="0007225E" w:rsidRDefault="00000000">
      <w:pPr>
        <w:jc w:val="center"/>
        <w:rPr>
          <w:rFonts w:ascii="黑体" w:eastAsia="黑体" w:hAnsi="黑体"/>
          <w:sz w:val="32"/>
          <w:szCs w:val="32"/>
        </w:rPr>
      </w:pPr>
      <w:r>
        <w:rPr>
          <w:rFonts w:ascii="黑体" w:eastAsia="黑体" w:hAnsi="黑体" w:hint="eastAsia"/>
          <w:sz w:val="32"/>
          <w:szCs w:val="32"/>
        </w:rPr>
        <w:t>第一章 总则</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07225E" w:rsidRDefault="00000000">
      <w:pPr>
        <w:tabs>
          <w:tab w:val="left" w:pos="-180"/>
          <w:tab w:val="left" w:pos="2012"/>
        </w:tabs>
        <w:ind w:firstLineChars="198" w:firstLine="634"/>
        <w:rPr>
          <w:rFonts w:ascii="仿宋_GB2312" w:eastAsia="仿宋_GB2312"/>
          <w:b/>
          <w:sz w:val="32"/>
          <w:szCs w:val="32"/>
        </w:rPr>
      </w:pPr>
      <w:r>
        <w:rPr>
          <w:rFonts w:ascii="仿宋_GB2312" w:eastAsia="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第五条</w:t>
      </w:r>
      <w:r>
        <w:rPr>
          <w:rFonts w:ascii="仿宋_GB2312" w:eastAsia="仿宋_GB2312" w:hint="eastAsia"/>
          <w:sz w:val="32"/>
          <w:szCs w:val="32"/>
        </w:rPr>
        <w:t xml:space="preserve"> 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第六条</w:t>
      </w:r>
      <w:r>
        <w:rPr>
          <w:rFonts w:ascii="仿宋_GB2312" w:eastAsia="仿宋_GB2312" w:hint="eastAsia"/>
          <w:sz w:val="32"/>
          <w:szCs w:val="32"/>
        </w:rPr>
        <w:t xml:space="preserve"> 本细则</w:t>
      </w:r>
      <w:r>
        <w:rPr>
          <w:rFonts w:ascii="仿宋_GB2312" w:eastAsia="仿宋_GB2312" w:hAnsi="宋体" w:cs="宋体" w:hint="eastAsia"/>
          <w:sz w:val="32"/>
          <w:szCs w:val="32"/>
        </w:rPr>
        <w:t>涉及的</w:t>
      </w:r>
      <w:r>
        <w:rPr>
          <w:rFonts w:ascii="仿宋_GB2312" w:eastAsia="仿宋_GB2312" w:hint="eastAsia"/>
          <w:sz w:val="32"/>
          <w:szCs w:val="32"/>
        </w:rPr>
        <w:t>交易信息和标的物，仅限于委托中储粮网购销双向竞价交易标的。</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第七条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07225E" w:rsidRDefault="0007225E">
      <w:pPr>
        <w:tabs>
          <w:tab w:val="left" w:pos="-180"/>
        </w:tabs>
        <w:ind w:firstLineChars="200" w:firstLine="640"/>
        <w:rPr>
          <w:rFonts w:ascii="黑体" w:eastAsia="黑体" w:hAnsi="黑体"/>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07225E" w:rsidRDefault="0007225E">
      <w:pPr>
        <w:tabs>
          <w:tab w:val="left" w:pos="-180"/>
          <w:tab w:val="left" w:pos="2012"/>
        </w:tabs>
        <w:rPr>
          <w:rFonts w:ascii="仿宋_GB2312" w:eastAsia="仿宋_GB2312"/>
          <w:b/>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第十一条 </w:t>
      </w:r>
      <w:r>
        <w:rPr>
          <w:rFonts w:ascii="仿宋_GB2312" w:eastAsia="仿宋_GB2312" w:hint="eastAsia"/>
          <w:sz w:val="32"/>
          <w:szCs w:val="32"/>
        </w:rPr>
        <w:t>交易模式：此批购销双向竞价交易（即购销价差竞价，单向采购/销售价格固定，另外一向销售/采购价格通过竞价方式确定）受</w:t>
      </w:r>
      <w:r>
        <w:rPr>
          <w:rFonts w:ascii="仿宋_GB2312" w:eastAsia="仿宋_GB2312"/>
          <w:sz w:val="32"/>
          <w:szCs w:val="32"/>
        </w:rPr>
        <w:t xml:space="preserve">中储粮集团山西分公司</w:t>
      </w:r>
      <w:proofErr w:type="spellStart"/>
      <w:ins w:id="1" w:author="Microsoft Office User" w:date="2026-01-05T11:38:00Z">
        <w:r w:rsidR="00C77B1B">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委托，采取网上竞价交易。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第十二条</w:t>
      </w:r>
      <w:r>
        <w:rPr>
          <w:rFonts w:ascii="仿宋_GB2312" w:eastAsia="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int="eastAsia"/>
          <w:sz w:val="32"/>
          <w:szCs w:val="32"/>
        </w:rPr>
        <w:t>客服时间为工作日9:00-17:00，出金业务仅在客服时间内办理。客服时间如有调整，以中储粮网公告为准。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lastRenderedPageBreak/>
        <w:t>第十三条</w:t>
      </w:r>
      <w:r>
        <w:rPr>
          <w:rFonts w:ascii="仿宋_GB2312" w:eastAsia="仿宋_GB2312" w:hint="eastAsia"/>
          <w:sz w:val="32"/>
          <w:szCs w:val="32"/>
        </w:rPr>
        <w:t xml:space="preserve"> 交易制度。</w:t>
      </w:r>
      <w:r>
        <w:rPr>
          <w:rFonts w:ascii="仿宋_GB2312" w:eastAsia="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2"/>
          <w:szCs w:val="32"/>
        </w:rPr>
        <w:t>中储粮网会员必须根据拟交易数量缴纳足额保证金，方可在中储粮网进行竞价。</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第十四条</w:t>
      </w:r>
      <w:r>
        <w:rPr>
          <w:rFonts w:ascii="仿宋_GB2312" w:eastAsia="仿宋_GB2312" w:hint="eastAsia"/>
          <w:sz w:val="32"/>
          <w:szCs w:val="32"/>
        </w:rPr>
        <w:t xml:space="preserve"> 中储粮网会员必须根据拟交易数量及保证金执行标准，保证会员托管账户中有足额资金，方可在中储粮网进行交易。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第十五条</w:t>
      </w:r>
      <w:r>
        <w:rPr>
          <w:rFonts w:ascii="仿宋_GB2312" w:eastAsia="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账户名称：中储粮网会员本企业名称</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开户行：中国工商银行德外支行</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lastRenderedPageBreak/>
        <w:t>账号：中储粮网会员本企业托管账号</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银行行号：</w:t>
      </w:r>
      <w:r>
        <w:rPr>
          <w:rFonts w:ascii="仿宋_GB2312" w:eastAsia="仿宋_GB2312"/>
          <w:sz w:val="32"/>
          <w:szCs w:val="32"/>
        </w:rPr>
        <w:t>1021 0000 0136</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银行所属区域：北京市西城区</w:t>
      </w:r>
    </w:p>
    <w:p w:rsidR="0007225E" w:rsidRDefault="00000000">
      <w:pPr>
        <w:numPr>
          <w:ilvl w:val="255"/>
          <w:numId w:val="0"/>
        </w:numPr>
        <w:tabs>
          <w:tab w:val="left" w:pos="-180"/>
          <w:tab w:val="left" w:pos="1303"/>
        </w:tabs>
        <w:ind w:firstLineChars="200" w:firstLine="640"/>
        <w:jc w:val="left"/>
        <w:rPr>
          <w:rFonts w:ascii="仿宋_GB2312" w:eastAsia="仿宋_GB2312" w:cs="仿宋_GB2312"/>
          <w:sz w:val="32"/>
          <w:szCs w:val="32"/>
        </w:rPr>
      </w:pPr>
      <w:r>
        <w:rPr>
          <w:rFonts w:ascii="仿宋_GB2312" w:eastAsia="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07225E" w:rsidRDefault="00000000">
      <w:pPr>
        <w:numPr>
          <w:ilvl w:val="255"/>
          <w:numId w:val="0"/>
        </w:numPr>
        <w:tabs>
          <w:tab w:val="left" w:pos="-180"/>
          <w:tab w:val="left" w:pos="1303"/>
        </w:tabs>
        <w:ind w:firstLineChars="200" w:firstLine="664"/>
        <w:rPr>
          <w:rFonts w:ascii="仿宋_GB2312" w:eastAsia="仿宋_GB2312" w:cs="仿宋_GB2312"/>
          <w:sz w:val="32"/>
          <w:szCs w:val="32"/>
        </w:rPr>
      </w:pPr>
      <w:r>
        <w:rPr>
          <w:rFonts w:ascii="仿宋_GB2312" w:eastAsia="仿宋_GB2312" w:hAnsi="宋体" w:hint="eastAsia"/>
          <w:b/>
          <w:spacing w:val="6"/>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07225E" w:rsidRDefault="0007225E">
      <w:pPr>
        <w:tabs>
          <w:tab w:val="left" w:pos="-180"/>
        </w:tabs>
        <w:ind w:firstLineChars="200" w:firstLine="640"/>
        <w:jc w:val="left"/>
        <w:rPr>
          <w:rFonts w:ascii="仿宋_GB2312" w:eastAsia="仿宋_GB2312"/>
          <w:sz w:val="32"/>
          <w:szCs w:val="32"/>
        </w:rPr>
      </w:pPr>
    </w:p>
    <w:p w:rsidR="0007225E" w:rsidRDefault="00000000">
      <w:pPr>
        <w:jc w:val="center"/>
        <w:rPr>
          <w:rFonts w:ascii="黑体" w:eastAsia="黑体" w:hAnsi="黑体"/>
          <w:sz w:val="32"/>
          <w:szCs w:val="32"/>
        </w:rPr>
      </w:pPr>
      <w:r>
        <w:rPr>
          <w:rFonts w:ascii="黑体" w:eastAsia="黑体" w:hAnsi="黑体" w:hint="eastAsia"/>
          <w:sz w:val="32"/>
          <w:szCs w:val="32"/>
        </w:rPr>
        <w:t>第四章 交易秩序</w:t>
      </w:r>
    </w:p>
    <w:p w:rsidR="0007225E"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w:t>
      </w:r>
      <w:r>
        <w:rPr>
          <w:rFonts w:ascii="仿宋_GB2312" w:eastAsia="仿宋_GB2312" w:hAnsi="仿宋_GB2312" w:cs="仿宋_GB2312" w:hint="eastAsia"/>
          <w:spacing w:val="6"/>
          <w:sz w:val="32"/>
          <w:szCs w:val="32"/>
        </w:rPr>
        <w:lastRenderedPageBreak/>
        <w:t>等处罚。违反法律法规规定的，由有关部门按照国家有关法律法规处理。</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07225E" w:rsidRDefault="00000000">
      <w:pPr>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07225E" w:rsidRDefault="0007225E">
      <w:pPr>
        <w:ind w:firstLineChars="200" w:firstLine="640"/>
        <w:rPr>
          <w:rFonts w:ascii="仿宋_GB2312" w:eastAsia="仿宋_GB2312"/>
          <w:sz w:val="32"/>
          <w:szCs w:val="32"/>
        </w:rPr>
      </w:pPr>
    </w:p>
    <w:p w:rsidR="0007225E" w:rsidRDefault="00000000">
      <w:pPr>
        <w:jc w:val="center"/>
        <w:rPr>
          <w:rFonts w:ascii="黑体" w:eastAsia="黑体" w:hAnsi="黑体"/>
          <w:sz w:val="32"/>
          <w:szCs w:val="32"/>
        </w:rPr>
      </w:pPr>
      <w:r>
        <w:rPr>
          <w:rFonts w:ascii="黑体" w:eastAsia="黑体" w:hAnsi="黑体" w:hint="eastAsia"/>
          <w:sz w:val="32"/>
          <w:szCs w:val="32"/>
        </w:rPr>
        <w:t>第五章 竞价交易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sz w:val="32"/>
          <w:szCs w:val="32"/>
        </w:rPr>
        <w:t xml:space="preserve">中储粮集团山西分公司</w:t>
      </w:r>
      <w:proofErr w:type="spellStart"/>
      <w:ins w:id="2" w:author="Microsoft Office User" w:date="2026-01-05T11:39:00Z">
        <w:r w:rsidR="00003631">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组建竞价专场，交易信息以专场标的形式展现；竞价参与方在专场交易的规定时间内可对选定的标的，以向上的出价方式进行公开竞价。竞价交易按照“价格优先”，同等价格情况下以应价时间优先的原则成交。</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w:t>
      </w:r>
      <w:r>
        <w:rPr>
          <w:rFonts w:ascii="仿宋_GB2312" w:eastAsia="仿宋_GB2312" w:hint="eastAsia"/>
          <w:sz w:val="32"/>
          <w:szCs w:val="32"/>
        </w:rPr>
        <w:lastRenderedPageBreak/>
        <w:t>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 xml:space="preserve">第二十三条 </w:t>
      </w:r>
      <w:r>
        <w:rPr>
          <w:rFonts w:ascii="仿宋_GB2312" w:eastAsia="仿宋_GB2312" w:hint="eastAsia"/>
          <w:sz w:val="32"/>
          <w:szCs w:val="32"/>
        </w:rPr>
        <w:t>本场购销双向竞价交</w:t>
      </w:r>
      <w:r>
        <w:rPr>
          <w:rFonts w:ascii="仿宋_GB2312" w:eastAsia="仿宋_GB2312" w:hAnsi="仿宋_GB2312" w:cs="仿宋_GB2312" w:hint="eastAsia"/>
          <w:bCs/>
          <w:sz w:val="32"/>
          <w:szCs w:val="32"/>
        </w:rPr>
        <w:t>易挂拍价格类型以</w:t>
      </w:r>
      <w:r>
        <w:rPr>
          <w:rFonts w:ascii="仿宋_GB2312" w:eastAsia="仿宋_GB2312" w:hAnsi="仿宋_GB2312" w:cs="仿宋_GB2312" w:hint="eastAsia"/>
          <w:sz w:val="32"/>
          <w:szCs w:val="32"/>
        </w:rPr>
        <w:t>交易清单为准。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本场竞价交易所有标的成交价格原则上均为散粮成交价格，不含包装物</w:t>
      </w:r>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在提货时可自主选择采取散装散运或自备包装物出库，委托方不得强制带包装出库。销售合同竞拍标的为带包装储存的，出库是否带包装由中标方决定，如需散装出库，倒袋费用由委托方承担。</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cs="仿宋_GB2312"/>
          <w:spacing w:val="6"/>
          <w:kern w:val="0"/>
          <w:sz w:val="32"/>
          <w:szCs w:val="32"/>
        </w:rPr>
        <w:t>进入中储粮网竞价专场，应点击计算机报价，竞价数量已超过预交保证金所能购买数量的不可再参加竞价。</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第二十七条</w:t>
      </w:r>
      <w:r>
        <w:rPr>
          <w:rFonts w:ascii="仿宋_GB2312" w:eastAsia="仿宋_GB2312" w:hint="eastAsia"/>
          <w:sz w:val="32"/>
          <w:szCs w:val="32"/>
        </w:rPr>
        <w:t xml:space="preserve"> 保证金冻结。应价成交后同时生成采购和销售两笔合同，两笔成交合同对应的保证金全部自动冻结。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利用计算机按交易节逐节进行应价。在竞价专场公告对报价无特殊声明情况下，</w:t>
      </w:r>
      <w:r>
        <w:rPr>
          <w:rFonts w:ascii="仿宋_GB2312" w:eastAsia="仿宋_GB2312" w:hAnsi="宋体" w:hint="eastAsia"/>
          <w:spacing w:val="6"/>
          <w:sz w:val="32"/>
          <w:szCs w:val="32"/>
        </w:rPr>
        <w:lastRenderedPageBreak/>
        <w:t>竞价专场从销售标底价开始报价，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宋体" w:hint="eastAsia"/>
          <w:spacing w:val="6"/>
          <w:sz w:val="32"/>
          <w:szCs w:val="32"/>
        </w:rPr>
        <w:t>。特殊情况以竞价交易专场公告为准。</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报价后，在规定的时间内如无其它竞价参与方以更高的价格报价，则以该报价为标的的销售成交价，该</w:t>
      </w:r>
      <w:r>
        <w:rPr>
          <w:rFonts w:ascii="仿宋_GB2312" w:eastAsia="仿宋_GB2312" w:hAnsi="宋体" w:cs="仿宋_GB2312" w:hint="eastAsia"/>
          <w:spacing w:val="6"/>
          <w:kern w:val="0"/>
          <w:sz w:val="32"/>
          <w:szCs w:val="32"/>
        </w:rPr>
        <w:t>中标方既</w:t>
      </w:r>
      <w:r>
        <w:rPr>
          <w:rFonts w:ascii="仿宋_GB2312" w:eastAsia="仿宋_GB2312" w:hAnsi="宋体" w:hint="eastAsia"/>
          <w:spacing w:val="6"/>
          <w:sz w:val="32"/>
          <w:szCs w:val="32"/>
        </w:rPr>
        <w:t>为标的销售合同的买受人，同时也是对应该标的采购合同的供货人。</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07225E" w:rsidRDefault="00000000">
      <w:pPr>
        <w:tabs>
          <w:tab w:val="left" w:pos="-180"/>
          <w:tab w:val="left" w:pos="2012"/>
        </w:tabs>
        <w:ind w:firstLineChars="200" w:firstLine="640"/>
        <w:rPr>
          <w:rFonts w:ascii="仿宋_GB2312" w:eastAsia="仿宋_GB2312"/>
          <w:sz w:val="32"/>
          <w:szCs w:val="32"/>
        </w:rPr>
      </w:pPr>
      <w:bookmarkStart w:id="3" w:name="_Toc257121256"/>
      <w:bookmarkStart w:id="4" w:name="_Toc257277860"/>
      <w:r>
        <w:rPr>
          <w:rFonts w:ascii="仿宋_GB2312" w:eastAsia="仿宋_GB2312" w:hint="eastAsia"/>
          <w:b/>
          <w:sz w:val="32"/>
          <w:szCs w:val="32"/>
        </w:rPr>
        <w:t>第三十一条</w:t>
      </w:r>
      <w:r>
        <w:rPr>
          <w:rFonts w:ascii="仿宋_GB2312" w:eastAsia="仿宋_GB2312" w:hint="eastAsia"/>
          <w:sz w:val="32"/>
          <w:szCs w:val="32"/>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第三十二条</w:t>
      </w:r>
      <w:r>
        <w:rPr>
          <w:rFonts w:ascii="仿宋_GB2312" w:eastAsia="仿宋_GB2312" w:hint="eastAsia"/>
          <w:sz w:val="32"/>
          <w:szCs w:val="32"/>
        </w:rPr>
        <w:t xml:space="preserve"> 成交合同自委托、中标双方于中储粮网成交之时起生效。</w:t>
      </w:r>
    </w:p>
    <w:bookmarkEnd w:id="3"/>
    <w:bookmarkEnd w:id="4"/>
    <w:p w:rsidR="0007225E" w:rsidRDefault="0007225E">
      <w:pPr>
        <w:tabs>
          <w:tab w:val="left" w:pos="0"/>
          <w:tab w:val="left" w:pos="1303"/>
        </w:tabs>
        <w:ind w:firstLineChars="200" w:firstLine="640"/>
        <w:rPr>
          <w:rFonts w:ascii="仿宋_GB2312" w:eastAsia="仿宋_GB2312"/>
          <w:sz w:val="32"/>
          <w:szCs w:val="32"/>
        </w:rPr>
      </w:pPr>
    </w:p>
    <w:p w:rsidR="0007225E"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交割方式。本专场竞价交易生成的销售合同采取“先款后货”的交割方式，采购合同采取“先货后款”</w:t>
      </w:r>
      <w:r>
        <w:rPr>
          <w:rFonts w:ascii="仿宋_GB2312" w:eastAsia="仿宋_GB2312" w:hint="eastAsia"/>
          <w:sz w:val="32"/>
          <w:szCs w:val="32"/>
        </w:rPr>
        <w:lastRenderedPageBreak/>
        <w:t>的交割方式，具体以交易公告为准。交易所涉及的保证金、货款必须通过中储粮网支付。委托方不得违反中储粮集团公司赊销预付管理有关规定。</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先款后货：买方将货款一次或分批支付后，卖方再安排一次性发货或根据买方支付款项所对应的粮食数量分批进行发货的付款方式。</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货款支付。采购合同和销售合同的货款支付方式具体以交易公告为准。中储粮网的货款支付方式有两种，直接支付与验收确认后支付。</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验收确认后支付：货款支付方将货款支付给对方时，</w:t>
      </w:r>
      <w:r>
        <w:rPr>
          <w:rFonts w:ascii="仿宋_GB2312" w:eastAsia="仿宋_GB2312" w:hint="eastAsia"/>
          <w:sz w:val="32"/>
          <w:szCs w:val="32"/>
        </w:rPr>
        <w:lastRenderedPageBreak/>
        <w:t>货款在对方托管账户中即时冻结，按双方验收确认进度，系统自动将货款一次性或分批次释放到对方账户。</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保证金抵货款：只有当合同交割率≥70%，并且保证金金额≥未付货款时，保证金方可抵货款。</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第三十六条</w:t>
      </w:r>
      <w:r>
        <w:rPr>
          <w:rFonts w:ascii="仿宋_GB2312" w:eastAsia="仿宋_GB2312" w:hint="eastAsia"/>
          <w:sz w:val="32"/>
          <w:szCs w:val="32"/>
        </w:rPr>
        <w:t xml:space="preserve"> 提货和送货证明。中标方提货和送货时必须出具本企业的营业执照复印件及本企业《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办理竞价交易提（送）货的委托函》（或介绍信）等证明资料，证明资料上必须加盖本企业公章，提货人员和送货人员要提供有效身份证，由委托方核对后复印并与其他证明资料一并留存。</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出库通知单。委托方根据中储粮网托管账户中能够查询到的货款，自行开具相应数量的出库通知单。出库通知单必须在中储粮网到款时点之后再及时开具，中标方以出库通知单作为出库凭证。</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第三十八条</w:t>
      </w:r>
      <w:r>
        <w:rPr>
          <w:rFonts w:ascii="仿宋_GB2312" w:eastAsia="仿宋_GB2312" w:hint="eastAsia"/>
          <w:sz w:val="32"/>
          <w:szCs w:val="32"/>
        </w:rPr>
        <w:t xml:space="preserve"> 发货。卖方会员安排发货前应通知买方会员。发货方式和货物包装方式均依据成交合同执行。卖方会员在发货后，需在中储粮网进行“安排发货”操作。</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第三十九条 </w:t>
      </w:r>
      <w:r>
        <w:rPr>
          <w:rFonts w:ascii="仿宋_GB2312" w:eastAsia="仿宋_GB2312" w:hint="eastAsia"/>
          <w:sz w:val="32"/>
          <w:szCs w:val="32"/>
        </w:rPr>
        <w:t>交割期。交割期原则上按照双方合同约定执行，销售合同和采购合同的履约期限和出入库期限以交易清单为准。如有特殊情况，买卖双方可以协商在中储粮网申请合同变更，延长交割期。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成交合同的履约时间为自交易合同生效之日起，履约期和出库期、入库期以交易清单为准。</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货物验收。买方会员应及时进行货物验收。货</w:t>
      </w:r>
      <w:r>
        <w:rPr>
          <w:rFonts w:ascii="仿宋_GB2312" w:eastAsia="仿宋_GB2312" w:hint="eastAsia"/>
          <w:sz w:val="32"/>
          <w:szCs w:val="32"/>
        </w:rPr>
        <w:lastRenderedPageBreak/>
        <w:t>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票。</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对相关材料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lastRenderedPageBreak/>
        <w:t>第四十三条</w:t>
      </w:r>
      <w:r>
        <w:rPr>
          <w:rFonts w:ascii="仿宋_GB2312" w:eastAsia="仿宋_GB2312" w:hint="eastAsia"/>
          <w:sz w:val="32"/>
          <w:szCs w:val="32"/>
        </w:rPr>
        <w:t xml:space="preserve"> 解约。买卖双方经协商均同意终止合同时</w:t>
      </w:r>
      <w:r>
        <w:rPr>
          <w:rFonts w:ascii="仿宋_GB2312" w:eastAsia="仿宋_GB2312" w:hAnsi="仿宋_GB2312" w:cs="仿宋_GB2312" w:hint="eastAsia"/>
          <w:sz w:val="32"/>
          <w:szCs w:val="32"/>
        </w:rPr>
        <w:t>（</w:t>
      </w:r>
      <w:r>
        <w:rPr>
          <w:rFonts w:ascii="仿宋_GB2312" w:eastAsia="仿宋_GB2312" w:hAnsi="仿宋_GB2312" w:cs="仿宋_GB2312" w:hint="eastAsia"/>
          <w:bCs/>
          <w:sz w:val="32"/>
          <w:szCs w:val="32"/>
        </w:rPr>
        <w:t>其中一方为中储粮企业的，在做解约操作前，必须经所在分（子）公司同意并得到相关批复后方可操作</w:t>
      </w:r>
      <w:r>
        <w:rPr>
          <w:rFonts w:ascii="仿宋_GB2312" w:eastAsia="仿宋_GB2312" w:hAnsi="仿宋_GB2312" w:cs="仿宋_GB2312" w:hint="eastAsia"/>
          <w:sz w:val="32"/>
          <w:szCs w:val="32"/>
        </w:rPr>
        <w:t>）</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07225E" w:rsidRDefault="0007225E">
      <w:pPr>
        <w:tabs>
          <w:tab w:val="left" w:pos="-180"/>
        </w:tabs>
        <w:ind w:firstLineChars="200" w:firstLine="640"/>
        <w:rPr>
          <w:rFonts w:ascii="仿宋_GB2312" w:eastAsia="仿宋_GB2312"/>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第四十五条</w:t>
      </w:r>
      <w:r>
        <w:rPr>
          <w:rFonts w:ascii="仿宋_GB2312" w:eastAsia="仿宋_GB2312" w:hint="eastAsia"/>
          <w:sz w:val="32"/>
          <w:szCs w:val="32"/>
        </w:rPr>
        <w:t xml:space="preserve"> 违约是指会员违反《竞价专场交易细则》及双方签订的交易合同或中储粮网相关规定的行为。包括但不限于：</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lastRenderedPageBreak/>
        <w:t>（四）违反中储粮网各项规则、细则及管理办法的行为；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07225E"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int="eastAsia"/>
          <w:b/>
          <w:sz w:val="32"/>
          <w:szCs w:val="32"/>
        </w:rPr>
        <w:t>第四十六条</w:t>
      </w:r>
      <w:r>
        <w:rPr>
          <w:rFonts w:ascii="仿宋_GB2312" w:eastAsia="仿宋_GB2312" w:hint="eastAsia"/>
          <w:sz w:val="32"/>
          <w:szCs w:val="32"/>
        </w:rPr>
        <w:t xml:space="preserve"> </w:t>
      </w:r>
      <w:r>
        <w:rPr>
          <w:rFonts w:ascii="仿宋_GB2312" w:eastAsia="仿宋_GB2312" w:hAnsi="仿宋_GB2312" w:cs="仿宋_GB2312" w:hint="eastAsia"/>
          <w:sz w:val="32"/>
          <w:szCs w:val="32"/>
        </w:rPr>
        <w:t>违约处理办法</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（一）对违约行为，中储粮网对会员依次进行提示、劝告、扣除其相应的保证金，对多次、严重或恶意违约的会员，将取消其会员资格，并追究相关责任；</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Ansi="仿宋_GB2312" w:cs="仿宋_GB2312" w:hint="eastAsia"/>
          <w:sz w:val="32"/>
          <w:szCs w:val="32"/>
        </w:rPr>
        <w:t>商务调解。</w:t>
      </w:r>
      <w:r>
        <w:rPr>
          <w:rFonts w:ascii="仿宋_GB2312" w:eastAsia="仿宋_GB2312" w:hint="eastAsia"/>
          <w:sz w:val="32"/>
          <w:szCs w:val="32"/>
        </w:rPr>
        <w:t>交易中心可对交易双方所发生的商务纠纷进行商务调解。经协商或调解达成一致意见的，交易中心将根据纠纷双方协定意见进行相应的商务处理。未</w:t>
      </w:r>
      <w:r>
        <w:rPr>
          <w:rFonts w:ascii="仿宋_GB2312" w:eastAsia="仿宋_GB2312" w:hint="eastAsia"/>
          <w:sz w:val="32"/>
          <w:szCs w:val="32"/>
        </w:rPr>
        <w:lastRenderedPageBreak/>
        <w:t>达成一致意见的，交易双方可依法通过其他法律途径解决。</w:t>
      </w:r>
    </w:p>
    <w:p w:rsidR="0007225E"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b/>
          <w:sz w:val="32"/>
          <w:szCs w:val="32"/>
        </w:rPr>
        <w:t>第四十八条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07225E"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07225E" w:rsidRDefault="0007225E">
      <w:pPr>
        <w:tabs>
          <w:tab w:val="left" w:pos="-180"/>
        </w:tabs>
        <w:ind w:firstLineChars="200" w:firstLine="640"/>
        <w:rPr>
          <w:rFonts w:ascii="仿宋_GB2312" w:eastAsia="仿宋_GB2312"/>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第五十条</w:t>
      </w:r>
      <w:r>
        <w:rPr>
          <w:rFonts w:ascii="仿宋_GB2312" w:eastAsia="仿宋_GB2312" w:hint="eastAsia"/>
          <w:sz w:val="32"/>
          <w:szCs w:val="32"/>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第五十一条</w:t>
      </w:r>
      <w:r>
        <w:rPr>
          <w:rFonts w:ascii="仿宋_GB2312" w:eastAsia="仿宋_GB2312" w:hint="eastAsia"/>
          <w:sz w:val="32"/>
          <w:szCs w:val="32"/>
        </w:rPr>
        <w:t xml:space="preserve"> 交易中心无法对会员的使用行为进行全面控制，因此对会员不做任何类型的担保。会员访问中储粮网页面、下载资料或信息而导致该会员电脑系统损坏或资料丢失，其风险自行承担。</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b/>
          <w:sz w:val="32"/>
          <w:szCs w:val="32"/>
        </w:rPr>
        <w:lastRenderedPageBreak/>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第五十三条</w:t>
      </w:r>
      <w:r>
        <w:rPr>
          <w:rFonts w:ascii="仿宋_GB2312" w:eastAsia="仿宋_GB2312" w:hint="eastAsia"/>
          <w:sz w:val="32"/>
          <w:szCs w:val="32"/>
        </w:rPr>
        <w:t xml:space="preserve"> 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07225E" w:rsidRDefault="0007225E">
      <w:pPr>
        <w:tabs>
          <w:tab w:val="left" w:pos="-180"/>
        </w:tabs>
        <w:ind w:firstLineChars="200" w:firstLine="640"/>
        <w:jc w:val="center"/>
        <w:rPr>
          <w:rFonts w:ascii="黑体" w:eastAsia="黑体" w:hAnsi="黑体"/>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07225E" w:rsidRDefault="00000000">
      <w:pPr>
        <w:tabs>
          <w:tab w:val="left" w:pos="-180"/>
          <w:tab w:val="left" w:pos="2012"/>
        </w:tabs>
        <w:ind w:firstLineChars="200" w:firstLine="640"/>
        <w:rPr>
          <w:sz w:val="32"/>
          <w:szCs w:val="32"/>
        </w:rPr>
      </w:pPr>
      <w:r>
        <w:rPr>
          <w:rFonts w:ascii="仿宋_GB2312" w:eastAsia="仿宋_GB2312" w:hint="eastAsia"/>
          <w:b/>
          <w:sz w:val="32"/>
          <w:szCs w:val="32"/>
        </w:rPr>
        <w:lastRenderedPageBreak/>
        <w:t xml:space="preserve">第五十六条 </w:t>
      </w:r>
      <w:r>
        <w:rPr>
          <w:rFonts w:ascii="仿宋_GB2312" w:eastAsia="仿宋_GB2312" w:hint="eastAsia"/>
          <w:sz w:val="32"/>
          <w:szCs w:val="32"/>
        </w:rPr>
        <w:t>本细则仅适用于</w:t>
      </w:r>
      <w:r>
        <w:rPr>
          <w:rFonts w:ascii="仿宋_GB2312" w:eastAsia="仿宋_GB2312"/>
          <w:sz w:val="32"/>
          <w:szCs w:val="32"/>
        </w:rPr>
        <w:t xml:space="preserve">中储粮集团山西分公司</w:t>
      </w:r>
      <w:proofErr w:type="spellStart"/>
      <w:ins w:id="5" w:author="Microsoft Office User" w:date="2026-01-05T11:39:00Z">
        <w:r w:rsidR="00F259FD">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委托的本竞价专场交易，并自发布之日起执行。</w:t>
      </w:r>
    </w:p>
    <w:sectPr w:rsidR="0007225E">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03631"/>
    <w:rsid w:val="000148FB"/>
    <w:rsid w:val="00015D6F"/>
    <w:rsid w:val="00057888"/>
    <w:rsid w:val="000602ED"/>
    <w:rsid w:val="0007225E"/>
    <w:rsid w:val="00074C88"/>
    <w:rsid w:val="000807CA"/>
    <w:rsid w:val="00082F9A"/>
    <w:rsid w:val="000A0FE7"/>
    <w:rsid w:val="000B1D6E"/>
    <w:rsid w:val="000C0C39"/>
    <w:rsid w:val="000C171D"/>
    <w:rsid w:val="000D5C56"/>
    <w:rsid w:val="000F6857"/>
    <w:rsid w:val="001009E4"/>
    <w:rsid w:val="001029A6"/>
    <w:rsid w:val="0010520B"/>
    <w:rsid w:val="001155FA"/>
    <w:rsid w:val="00115914"/>
    <w:rsid w:val="00121C84"/>
    <w:rsid w:val="0019295F"/>
    <w:rsid w:val="00193744"/>
    <w:rsid w:val="001A5243"/>
    <w:rsid w:val="001C27D4"/>
    <w:rsid w:val="001C597A"/>
    <w:rsid w:val="00207573"/>
    <w:rsid w:val="00223EAB"/>
    <w:rsid w:val="00224E3B"/>
    <w:rsid w:val="0023210F"/>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429FD"/>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77B1B"/>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59FD"/>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3FF5D5D"/>
    <w:rsid w:val="146450B4"/>
    <w:rsid w:val="14DC140F"/>
    <w:rsid w:val="15AF3A1E"/>
    <w:rsid w:val="16343652"/>
    <w:rsid w:val="16DC49E9"/>
    <w:rsid w:val="172F68A1"/>
    <w:rsid w:val="178B6E13"/>
    <w:rsid w:val="179F4495"/>
    <w:rsid w:val="184C2847"/>
    <w:rsid w:val="18632B54"/>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05076D"/>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DF1571"/>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F9AC572"/>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rPr>
      <w:kern w:val="2"/>
      <w:sz w:val="21"/>
      <w:szCs w:val="24"/>
    </w:rPr>
  </w:style>
  <w:style w:type="paragraph" w:styleId="af3">
    <w:name w:val="Revision"/>
    <w:hidden/>
    <w:uiPriority w:val="99"/>
    <w:semiHidden/>
    <w:rsid w:val="00C77B1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1074</Words>
  <Characters>6126</Characters>
  <Application>Microsoft Office Word</Application>
  <DocSecurity>0</DocSecurity>
  <Lines>51</Lines>
  <Paragraphs>14</Paragraphs>
  <ScaleCrop>false</ScaleCrop>
  <Company>Lenovo</Company>
  <LinksUpToDate>false</LinksUpToDate>
  <CharactersWithSpaces>7186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sysun</dc:creator>
  <cp:lastModifiedBy>Microsoft Office User</cp:lastModifiedBy>
  <cp:lastPrinted>2019-01-08T06:43:00Z</cp:lastPrinted>
  <dcterms:modified xsi:type="dcterms:W3CDTF">2026-01-05T03:39:00Z</dcterms:modified>
  <cp:revision>13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BF1BCFACC526414FB08655C79319DD54_12</vt:lpwstr>
  </property>
</Properties>
</file>